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F06A64">
        <w:rPr>
          <w:rFonts w:asciiTheme="majorHAnsi" w:hAnsiTheme="majorHAnsi" w:cstheme="majorHAnsi"/>
          <w:b/>
        </w:rPr>
        <w:t>1</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F06A64" w:rsidRPr="00F06A64">
        <w:rPr>
          <w:rFonts w:asciiTheme="majorHAnsi" w:hAnsiTheme="majorHAnsi" w:cstheme="majorHAnsi"/>
          <w:b/>
        </w:rPr>
        <w:t>R1-1720148</w:t>
      </w:r>
    </w:p>
    <w:p w:rsidR="00CF7042" w:rsidRPr="00A81622" w:rsidRDefault="00F06A64" w:rsidP="00CF7042">
      <w:pPr>
        <w:rPr>
          <w:rFonts w:asciiTheme="majorHAnsi" w:eastAsia="MS Mincho" w:hAnsiTheme="majorHAnsi" w:cstheme="majorHAnsi"/>
          <w:b/>
          <w:bCs/>
          <w:sz w:val="28"/>
        </w:rPr>
      </w:pPr>
      <w:r>
        <w:rPr>
          <w:rFonts w:asciiTheme="majorHAnsi" w:hAnsiTheme="majorHAnsi" w:cstheme="majorHAnsi"/>
          <w:b/>
        </w:rPr>
        <w:t>Reno, Nevada, USA, Nov. 27</w:t>
      </w:r>
      <w:r w:rsidRPr="009D06DE">
        <w:rPr>
          <w:rFonts w:asciiTheme="majorHAnsi" w:hAnsiTheme="majorHAnsi" w:cstheme="majorHAnsi"/>
          <w:b/>
          <w:vertAlign w:val="superscript"/>
        </w:rPr>
        <w:t>th</w:t>
      </w:r>
      <w:r>
        <w:rPr>
          <w:rFonts w:asciiTheme="majorHAnsi" w:hAnsiTheme="majorHAnsi" w:cstheme="majorHAnsi"/>
          <w:b/>
        </w:rPr>
        <w:t xml:space="preserve">, Dec. 1st </w:t>
      </w:r>
      <w:r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 xml:space="preserve">Low PAPR SFBC </w:t>
      </w:r>
      <w:r w:rsidR="00105944">
        <w:rPr>
          <w:rFonts w:asciiTheme="majorHAnsi" w:eastAsia="MS Gothic" w:hAnsiTheme="majorHAnsi" w:cstheme="majorHAnsi"/>
          <w:noProof w:val="0"/>
          <w:sz w:val="24"/>
        </w:rPr>
        <w:t xml:space="preserve">evaluations </w:t>
      </w:r>
      <w:r w:rsidR="002A271E">
        <w:rPr>
          <w:rFonts w:asciiTheme="majorHAnsi" w:eastAsia="MS Gothic" w:hAnsiTheme="majorHAnsi" w:cstheme="majorHAnsi"/>
          <w:noProof w:val="0"/>
          <w:sz w:val="24"/>
        </w:rPr>
        <w:t xml:space="preserve">for </w:t>
      </w:r>
      <w:r w:rsidR="00BF4876">
        <w:rPr>
          <w:rFonts w:asciiTheme="majorHAnsi" w:eastAsia="MS Gothic" w:hAnsiTheme="majorHAnsi" w:cstheme="majorHAnsi"/>
          <w:noProof w:val="0"/>
          <w:sz w:val="24"/>
        </w:rPr>
        <w:t>PSSCH</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B92C04">
        <w:rPr>
          <w:rFonts w:asciiTheme="majorHAnsi" w:eastAsia="MS Gothic" w:hAnsiTheme="majorHAnsi" w:cstheme="majorHAnsi"/>
          <w:noProof w:val="0"/>
          <w:sz w:val="24"/>
        </w:rPr>
        <w:t>2.3.3.2 Evaluation Results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0F2286" w:rsidRDefault="000F2286" w:rsidP="000F2286">
      <w:pPr>
        <w:rPr>
          <w:rFonts w:eastAsia="MS Mincho"/>
          <w:iCs/>
          <w:szCs w:val="20"/>
        </w:rPr>
      </w:pPr>
      <w:r w:rsidRPr="00145316">
        <w:rPr>
          <w:rFonts w:eastAsia="MS Mincho"/>
          <w:iCs/>
          <w:szCs w:val="20"/>
        </w:rPr>
        <w:t>In the RAN1#90</w:t>
      </w:r>
      <w:r>
        <w:rPr>
          <w:rFonts w:eastAsia="MS Mincho"/>
          <w:iCs/>
          <w:szCs w:val="20"/>
        </w:rPr>
        <w:t xml:space="preserve"> meeting </w:t>
      </w:r>
      <w:r>
        <w:rPr>
          <w:rFonts w:eastAsia="MS Mincho"/>
          <w:iCs/>
          <w:szCs w:val="20"/>
        </w:rPr>
        <w:fldChar w:fldCharType="begin"/>
      </w:r>
      <w:r>
        <w:rPr>
          <w:rFonts w:eastAsia="MS Mincho"/>
          <w:iCs/>
          <w:szCs w:val="20"/>
        </w:rPr>
        <w:instrText xml:space="preserve"> REF _Ref477366453 \r \h </w:instrText>
      </w:r>
      <w:r>
        <w:rPr>
          <w:rFonts w:eastAsia="MS Mincho"/>
          <w:iCs/>
          <w:szCs w:val="20"/>
        </w:rPr>
      </w:r>
      <w:r>
        <w:rPr>
          <w:rFonts w:eastAsia="MS Mincho"/>
          <w:iCs/>
          <w:szCs w:val="20"/>
        </w:rPr>
        <w:fldChar w:fldCharType="separate"/>
      </w:r>
      <w:r w:rsidR="006C2369">
        <w:rPr>
          <w:rFonts w:eastAsia="MS Mincho"/>
          <w:iCs/>
          <w:szCs w:val="20"/>
        </w:rPr>
        <w:t>[1]</w:t>
      </w:r>
      <w:r>
        <w:rPr>
          <w:rFonts w:eastAsia="MS Mincho"/>
          <w:iCs/>
          <w:szCs w:val="20"/>
        </w:rPr>
        <w:fldChar w:fldCharType="end"/>
      </w:r>
      <w:r>
        <w:rPr>
          <w:rFonts w:eastAsia="MS Mincho"/>
          <w:iCs/>
          <w:szCs w:val="20"/>
        </w:rPr>
        <w:t xml:space="preserve"> the following working assumption was reached</w:t>
      </w:r>
      <w:r w:rsidR="00BF4876">
        <w:rPr>
          <w:rFonts w:eastAsia="MS Mincho"/>
          <w:iCs/>
          <w:szCs w:val="20"/>
        </w:rPr>
        <w:t xml:space="preserve"> for PSSCH</w:t>
      </w:r>
      <w:r>
        <w:rPr>
          <w:rFonts w:eastAsia="MS Mincho"/>
          <w:iCs/>
          <w:szCs w:val="20"/>
        </w:rPr>
        <w:t>:</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MPR for Rel-15 UEs</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When communicating with Rel-14 UEs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0F2286" w:rsidRDefault="000F2286" w:rsidP="000F2286">
      <w:pPr>
        <w:rPr>
          <w:rFonts w:eastAsia="MS Mincho"/>
          <w:iCs/>
          <w:szCs w:val="20"/>
        </w:rPr>
      </w:pPr>
    </w:p>
    <w:p w:rsidR="002B4B53" w:rsidRDefault="000F2286" w:rsidP="0051424C">
      <w:pPr>
        <w:rPr>
          <w:rFonts w:eastAsia="MS Mincho"/>
          <w:iCs/>
          <w:szCs w:val="20"/>
        </w:rPr>
      </w:pPr>
      <w:r>
        <w:rPr>
          <w:rFonts w:eastAsia="MS Mincho"/>
          <w:iCs/>
          <w:szCs w:val="20"/>
        </w:rPr>
        <w:t xml:space="preserve">In RAN1#88b </w:t>
      </w:r>
      <w:r>
        <w:rPr>
          <w:rFonts w:eastAsia="MS Mincho"/>
          <w:iCs/>
          <w:szCs w:val="20"/>
        </w:rPr>
        <w:fldChar w:fldCharType="begin"/>
      </w:r>
      <w:r>
        <w:rPr>
          <w:rFonts w:eastAsia="MS Mincho"/>
          <w:iCs/>
          <w:szCs w:val="20"/>
        </w:rPr>
        <w:instrText xml:space="preserve"> REF _Ref484187793 \r \h </w:instrText>
      </w:r>
      <w:r>
        <w:rPr>
          <w:rFonts w:eastAsia="MS Mincho"/>
          <w:iCs/>
          <w:szCs w:val="20"/>
        </w:rPr>
      </w:r>
      <w:r>
        <w:rPr>
          <w:rFonts w:eastAsia="MS Mincho"/>
          <w:iCs/>
          <w:szCs w:val="20"/>
        </w:rPr>
        <w:fldChar w:fldCharType="separate"/>
      </w:r>
      <w:r w:rsidR="006C2369">
        <w:rPr>
          <w:rFonts w:eastAsia="MS Mincho"/>
          <w:iCs/>
          <w:szCs w:val="20"/>
        </w:rPr>
        <w:t>[2]</w:t>
      </w:r>
      <w:r>
        <w:rPr>
          <w:rFonts w:eastAsia="MS Mincho"/>
          <w:iCs/>
          <w:szCs w:val="20"/>
        </w:rPr>
        <w:fldChar w:fldCharType="end"/>
      </w:r>
      <w:r>
        <w:rPr>
          <w:rFonts w:eastAsia="MS Mincho"/>
          <w:iCs/>
          <w:szCs w:val="20"/>
        </w:rPr>
        <w:t>, simulation assumption agreements have been made to set up the simulation scenarios for transmit diversity candidates for PSSCH and PSCCH.</w:t>
      </w:r>
    </w:p>
    <w:p w:rsidR="000F2286" w:rsidRPr="000F2286" w:rsidRDefault="000F2286" w:rsidP="000F2286">
      <w:pPr>
        <w:pStyle w:val="Paragraphedeliste"/>
        <w:numPr>
          <w:ilvl w:val="0"/>
          <w:numId w:val="48"/>
        </w:numPr>
        <w:overflowPunct w:val="0"/>
        <w:autoSpaceDE w:val="0"/>
        <w:autoSpaceDN w:val="0"/>
        <w:spacing w:after="60"/>
        <w:ind w:leftChars="0"/>
        <w:rPr>
          <w:i/>
        </w:rPr>
      </w:pPr>
      <w:r w:rsidRPr="000F2286">
        <w:rPr>
          <w:i/>
        </w:rPr>
        <w:t xml:space="preserve">For the </w:t>
      </w:r>
      <w:r w:rsidRPr="000F2286">
        <w:rPr>
          <w:i/>
          <w:iCs/>
          <w:lang w:eastAsia="zh-CN"/>
        </w:rPr>
        <w:t>design</w:t>
      </w:r>
      <w:r w:rsidRPr="000F2286">
        <w:rPr>
          <w:i/>
        </w:rPr>
        <w:t xml:space="preserve"> and feasibility of TxD schemes in Rel-15 PC5 operation, the CM increase per antenna over single antenna port transmission of Rel-14 is considered.</w:t>
      </w:r>
    </w:p>
    <w:p w:rsidR="000F2286" w:rsidRPr="000F2286" w:rsidRDefault="000F2286" w:rsidP="000F2286">
      <w:pPr>
        <w:pStyle w:val="Paragraphedeliste"/>
        <w:numPr>
          <w:ilvl w:val="0"/>
          <w:numId w:val="48"/>
        </w:numPr>
        <w:overflowPunct w:val="0"/>
        <w:autoSpaceDE w:val="0"/>
        <w:autoSpaceDN w:val="0"/>
        <w:spacing w:after="60"/>
        <w:ind w:leftChars="0"/>
        <w:rPr>
          <w:i/>
        </w:rPr>
      </w:pPr>
      <w:r w:rsidRPr="000F2286">
        <w:rPr>
          <w:i/>
        </w:rPr>
        <w:t>For</w:t>
      </w:r>
      <w:r w:rsidRPr="000F2286">
        <w:rPr>
          <w:rFonts w:eastAsia="MS Mincho"/>
          <w:i/>
          <w:iCs/>
        </w:rPr>
        <w:t xml:space="preserve"> </w:t>
      </w:r>
      <w:r w:rsidRPr="000F2286">
        <w:rPr>
          <w:i/>
        </w:rPr>
        <w:t>link</w:t>
      </w:r>
      <w:r w:rsidRPr="000F2286">
        <w:rPr>
          <w:rFonts w:eastAsia="MS Mincho"/>
          <w:i/>
          <w:iCs/>
        </w:rPr>
        <w:t xml:space="preserve"> </w:t>
      </w:r>
      <w:r w:rsidRPr="000F2286">
        <w:rPr>
          <w:i/>
          <w:iCs/>
          <w:lang w:eastAsia="zh-CN"/>
        </w:rPr>
        <w:t>level</w:t>
      </w:r>
      <w:r w:rsidRPr="000F2286">
        <w:rPr>
          <w:rFonts w:eastAsia="MS Mincho"/>
          <w:i/>
          <w:iCs/>
        </w:rPr>
        <w:t xml:space="preserve"> </w:t>
      </w:r>
      <w:r w:rsidRPr="000F2286">
        <w:rPr>
          <w:i/>
          <w:iCs/>
          <w:lang w:eastAsia="zh-CN"/>
        </w:rPr>
        <w:t>simulation</w:t>
      </w:r>
      <w:r w:rsidRPr="000F2286">
        <w:rPr>
          <w:rFonts w:eastAsia="MS Mincho"/>
          <w:i/>
          <w:iCs/>
        </w:rPr>
        <w:t xml:space="preserve"> (SNR vs. BLER) to investigate TxD gains for performance of V2X is applied for PSSCH and PSCCH.</w:t>
      </w:r>
    </w:p>
    <w:tbl>
      <w:tblPr>
        <w:tblW w:w="7920" w:type="dxa"/>
        <w:jc w:val="center"/>
        <w:tblCellMar>
          <w:left w:w="0" w:type="dxa"/>
          <w:right w:w="0" w:type="dxa"/>
        </w:tblCellMar>
        <w:tblLook w:val="0600" w:firstRow="0" w:lastRow="0" w:firstColumn="0" w:lastColumn="0" w:noHBand="1" w:noVBand="1"/>
      </w:tblPr>
      <w:tblGrid>
        <w:gridCol w:w="2268"/>
        <w:gridCol w:w="5652"/>
      </w:tblGrid>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Parameters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Value</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Carrier frequency</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6GHz</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 xml:space="preserve">Antenna number </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2 x 2</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Channel model</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LOS/NLOS in TR36.885 (linear polarization, half-lambda spacing)</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Vehicle speed (absolute)</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15 km/h, 140km/h, 250km/h, 60 km/h optional</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MCS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QPSK ½, 16QAM ½</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Payload size for PSSCH</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300 bytes, 190 bytes</w:t>
            </w:r>
          </w:p>
        </w:tc>
      </w:tr>
    </w:tbl>
    <w:p w:rsidR="000F2286" w:rsidRPr="000F2286" w:rsidRDefault="000F2286" w:rsidP="000F2286">
      <w:pPr>
        <w:pStyle w:val="Paragraphedeliste"/>
        <w:numPr>
          <w:ilvl w:val="0"/>
          <w:numId w:val="48"/>
        </w:numPr>
        <w:overflowPunct w:val="0"/>
        <w:autoSpaceDE w:val="0"/>
        <w:autoSpaceDN w:val="0"/>
        <w:spacing w:after="60"/>
        <w:ind w:leftChars="0"/>
        <w:rPr>
          <w:rFonts w:eastAsia="MS Mincho"/>
          <w:i/>
          <w:iCs/>
        </w:rPr>
      </w:pPr>
      <w:r w:rsidRPr="000F2286">
        <w:rPr>
          <w:rFonts w:eastAsia="MS Mincho"/>
          <w:i/>
          <w:iCs/>
        </w:rPr>
        <w:t xml:space="preserve">Frequency </w:t>
      </w:r>
      <w:r w:rsidRPr="000F2286">
        <w:rPr>
          <w:i/>
        </w:rPr>
        <w:t>offset</w:t>
      </w:r>
      <w:r w:rsidRPr="000F2286">
        <w:rPr>
          <w:rFonts w:eastAsia="MS Mincho"/>
          <w:i/>
          <w:iCs/>
        </w:rPr>
        <w:t xml:space="preserve"> modelled as in TR36.885</w:t>
      </w:r>
    </w:p>
    <w:p w:rsidR="000F2286" w:rsidRPr="000F2286" w:rsidRDefault="00D47F8C" w:rsidP="000F2286">
      <w:r>
        <w:t xml:space="preserve">This contribution provides link level simulations showing the benefit of using PAPR-preserving SC-SFBC </w:t>
      </w:r>
      <w:r>
        <w:fldChar w:fldCharType="begin"/>
      </w:r>
      <w:r>
        <w:instrText xml:space="preserve"> REF _Ref492582194 \r \h </w:instrText>
      </w:r>
      <w:r>
        <w:fldChar w:fldCharType="separate"/>
      </w:r>
      <w:r w:rsidR="006C2369">
        <w:t>[3]</w:t>
      </w:r>
      <w:r>
        <w:fldChar w:fldCharType="end"/>
      </w:r>
      <w:r>
        <w:t xml:space="preserve"> for sidelink communications.</w:t>
      </w:r>
      <w:r w:rsidR="0021555E">
        <w:t xml:space="preserve"> Our companion contribution </w:t>
      </w:r>
      <w:r w:rsidR="0021555E">
        <w:fldChar w:fldCharType="begin"/>
      </w:r>
      <w:r w:rsidR="0021555E">
        <w:instrText xml:space="preserve"> REF _Ref494406673 \r \h </w:instrText>
      </w:r>
      <w:r w:rsidR="0021555E">
        <w:fldChar w:fldCharType="separate"/>
      </w:r>
      <w:r w:rsidR="006C2369">
        <w:t>[4]</w:t>
      </w:r>
      <w:r w:rsidR="0021555E">
        <w:fldChar w:fldCharType="end"/>
      </w:r>
      <w:r w:rsidR="0021555E">
        <w:t xml:space="preserve"> provides detailed description of candidate schemes.</w:t>
      </w:r>
    </w:p>
    <w:p w:rsidR="00A81622" w:rsidRPr="0073662B" w:rsidRDefault="00A81622" w:rsidP="00A81622">
      <w:pPr>
        <w:pBdr>
          <w:bottom w:val="single" w:sz="12" w:space="1" w:color="auto"/>
        </w:pBdr>
      </w:pPr>
    </w:p>
    <w:p w:rsidR="00EA0674" w:rsidRDefault="0021555E" w:rsidP="00A81622">
      <w:pPr>
        <w:pStyle w:val="Titre1"/>
      </w:pPr>
      <w:r>
        <w:t>Performance evaluations</w:t>
      </w:r>
    </w:p>
    <w:p w:rsidR="00AB53DB" w:rsidRPr="0073662B" w:rsidRDefault="00BD3F81" w:rsidP="00A81622">
      <w:r>
        <w:t>In the contribution we</w:t>
      </w:r>
      <w:r w:rsidR="00A44684" w:rsidRPr="0073662B">
        <w:t xml:space="preserve"> investigate the following </w:t>
      </w:r>
      <w:r w:rsidR="00A44684" w:rsidRPr="009B7A2E">
        <w:t>candidate techniques</w:t>
      </w:r>
      <w:r w:rsidR="0021555E" w:rsidRPr="009B7A2E">
        <w:t xml:space="preserve"> for sidelink communication</w:t>
      </w:r>
      <w:r w:rsidR="00A44684" w:rsidRPr="009B7A2E">
        <w:t xml:space="preserve">: </w:t>
      </w:r>
      <w:r w:rsidR="00B84A0B" w:rsidRPr="009B7A2E">
        <w:t xml:space="preserve">PAPR preserving SFBC, </w:t>
      </w:r>
      <w:r w:rsidR="00BA31A1" w:rsidRPr="009B7A2E">
        <w:t xml:space="preserve">pre-DFT STBC </w:t>
      </w:r>
      <w:r w:rsidR="00BA31A1" w:rsidRPr="009B7A2E">
        <w:fldChar w:fldCharType="begin"/>
      </w:r>
      <w:r w:rsidR="00BA31A1" w:rsidRPr="009B7A2E">
        <w:instrText xml:space="preserve"> REF _Ref498720732 \r \h </w:instrText>
      </w:r>
      <w:r w:rsidR="009B7A2E">
        <w:instrText xml:space="preserve"> \* MERGEFORMAT </w:instrText>
      </w:r>
      <w:r w:rsidR="00BA31A1" w:rsidRPr="009B7A2E">
        <w:fldChar w:fldCharType="separate"/>
      </w:r>
      <w:r w:rsidR="006C2369" w:rsidRPr="009B7A2E">
        <w:t>[7]</w:t>
      </w:r>
      <w:r w:rsidR="00BA31A1" w:rsidRPr="009B7A2E">
        <w:fldChar w:fldCharType="end"/>
      </w:r>
      <w:r w:rsidR="003D19BD" w:rsidRPr="009B7A2E">
        <w:t xml:space="preserve">, </w:t>
      </w:r>
      <w:r w:rsidR="00A44684" w:rsidRPr="009B7A2E">
        <w:t xml:space="preserve">short delay CDD, </w:t>
      </w:r>
      <w:r w:rsidR="003D19BD" w:rsidRPr="009B7A2E">
        <w:t xml:space="preserve">long delay CDD, PVS with different precoders, </w:t>
      </w:r>
      <w:r w:rsidR="00B84A0B" w:rsidRPr="009B7A2E">
        <w:t>SIMO reference</w:t>
      </w:r>
      <w:r w:rsidR="00A44684" w:rsidRPr="009B7A2E">
        <w:t>.</w:t>
      </w:r>
      <w:r w:rsidR="00B84A0B" w:rsidRPr="009B7A2E">
        <w:t xml:space="preserve"> In </w:t>
      </w:r>
      <w:r w:rsidR="00B84A0B" w:rsidRPr="009B7A2E">
        <w:fldChar w:fldCharType="begin"/>
      </w:r>
      <w:r w:rsidR="00B84A0B" w:rsidRPr="009B7A2E">
        <w:instrText xml:space="preserve"> REF _Ref494384543 \r \h  \* MERGEFORMAT </w:instrText>
      </w:r>
      <w:r w:rsidR="00B84A0B" w:rsidRPr="009B7A2E">
        <w:fldChar w:fldCharType="separate"/>
      </w:r>
      <w:r w:rsidR="006C2369" w:rsidRPr="009B7A2E">
        <w:t>[5]</w:t>
      </w:r>
      <w:r w:rsidR="00B84A0B" w:rsidRPr="009B7A2E">
        <w:fldChar w:fldCharType="end"/>
      </w:r>
      <w:r w:rsidR="00B84A0B" w:rsidRPr="009B7A2E">
        <w:t>, thorough performance comparison</w:t>
      </w:r>
      <w:bookmarkStart w:id="0" w:name="_GoBack"/>
      <w:bookmarkEnd w:id="0"/>
      <w:r w:rsidR="00B84A0B" w:rsidRPr="00B84A0B">
        <w:t xml:space="preserve"> among</w:t>
      </w:r>
      <w:r w:rsidR="00A44684" w:rsidRPr="00B84A0B">
        <w:t xml:space="preserve"> </w:t>
      </w:r>
      <w:r w:rsidR="00B84A0B" w:rsidRPr="00B84A0B">
        <w:t>Alamouti-based transmit diversity (PAPR preserving SFBC, split symbol STBC), short delay CDD, and d</w:t>
      </w:r>
      <w:r w:rsidR="003D19BD">
        <w:t>ifferent types of time-domain P</w:t>
      </w:r>
      <w:r w:rsidR="00B84A0B" w:rsidRPr="00B84A0B">
        <w:t>V</w:t>
      </w:r>
      <w:r w:rsidR="003D19BD">
        <w:t>S</w:t>
      </w:r>
      <w:r w:rsidR="00B84A0B" w:rsidRPr="00B84A0B">
        <w:t xml:space="preserve"> (e.g. antenna port switching) is conducted in NR context in a large number of scenarios.</w:t>
      </w:r>
    </w:p>
    <w:p w:rsidR="00C445BD" w:rsidRPr="0073662B" w:rsidRDefault="00C445BD" w:rsidP="00A81622"/>
    <w:p w:rsidR="00F65FEC" w:rsidRPr="0073662B" w:rsidRDefault="00EA3318" w:rsidP="00A47724">
      <w:pPr>
        <w:pStyle w:val="Titre2"/>
      </w:pPr>
      <w:r>
        <w:t xml:space="preserve">Low PAPR </w:t>
      </w:r>
      <w:r w:rsidR="0021555E">
        <w:t>SC-SFBC</w:t>
      </w:r>
      <w:r w:rsidR="00B84A0B">
        <w:t xml:space="preserve"> brief review</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6C2369">
        <w:t>[3]</w:t>
      </w:r>
      <w:r w:rsidR="005D3AA1">
        <w:fldChar w:fldCharType="end"/>
      </w:r>
      <w:r w:rsidR="00CC2771">
        <w:t xml:space="preserve"> and thoroughly described in our </w:t>
      </w:r>
      <w:r w:rsidR="0021555E">
        <w:t xml:space="preserve">companion contribution </w:t>
      </w:r>
      <w:r w:rsidR="0021555E">
        <w:fldChar w:fldCharType="begin"/>
      </w:r>
      <w:r w:rsidR="0021555E">
        <w:instrText xml:space="preserve"> REF _Ref494406673 \r \h </w:instrText>
      </w:r>
      <w:r w:rsidR="0021555E">
        <w:fldChar w:fldCharType="separate"/>
      </w:r>
      <w:r w:rsidR="006C2369">
        <w:t>[4]</w:t>
      </w:r>
      <w:r w:rsidR="0021555E">
        <w:fldChar w:fldCharType="end"/>
      </w:r>
      <w:r w:rsidR="0021555E">
        <w:t xml:space="preserve">. It is also currently under investigation in an NR context for both PUSCH </w:t>
      </w:r>
      <w:r w:rsidR="0021555E">
        <w:fldChar w:fldCharType="begin"/>
      </w:r>
      <w:r w:rsidR="0021555E">
        <w:instrText xml:space="preserve"> REF _Ref494384543 \r \h </w:instrText>
      </w:r>
      <w:r w:rsidR="0021555E">
        <w:fldChar w:fldCharType="separate"/>
      </w:r>
      <w:r w:rsidR="006C2369">
        <w:t>[5]</w:t>
      </w:r>
      <w:r w:rsidR="0021555E">
        <w:fldChar w:fldCharType="end"/>
      </w:r>
      <w:r w:rsidR="0021555E">
        <w:t xml:space="preserve"> and PUCCH </w:t>
      </w:r>
      <w:r w:rsidR="0021555E">
        <w:fldChar w:fldCharType="begin"/>
      </w:r>
      <w:r w:rsidR="0021555E">
        <w:instrText xml:space="preserve"> REF _Ref494384545 \r \h </w:instrText>
      </w:r>
      <w:r w:rsidR="0021555E">
        <w:fldChar w:fldCharType="separate"/>
      </w:r>
      <w:r w:rsidR="006C2369">
        <w:t>[6]</w:t>
      </w:r>
      <w:r w:rsidR="0021555E">
        <w:fldChar w:fldCharType="end"/>
      </w:r>
      <w:r w:rsidR="0021555E">
        <w:t xml:space="preserve"> based on DFTsOFDM. </w:t>
      </w:r>
      <w:r w:rsidRPr="0073662B">
        <w:t>Alamouti precoding is applied at subcarrier level, after DFT precoding</w:t>
      </w:r>
      <w:r w:rsidR="00BD3F81">
        <w:t xml:space="preserve">, </w:t>
      </w:r>
      <w:r w:rsidRPr="0073662B">
        <w:t xml:space="preserve">as it can be seen in </w:t>
      </w:r>
      <w:r w:rsidR="005D3AA1">
        <w:fldChar w:fldCharType="begin"/>
      </w:r>
      <w:r w:rsidR="005D3AA1">
        <w:instrText xml:space="preserve"> REF _Ref468985453 \h  \* MERGEFORMAT </w:instrText>
      </w:r>
      <w:r w:rsidR="005D3AA1">
        <w:fldChar w:fldCharType="separate"/>
      </w:r>
      <w:r w:rsidR="006C2369" w:rsidRPr="0073662B">
        <w:t xml:space="preserve">Figure </w:t>
      </w:r>
      <w:r w:rsidR="006C2369">
        <w:t>1</w:t>
      </w:r>
      <w:r w:rsidR="005D3AA1">
        <w:fldChar w:fldCharType="end"/>
      </w:r>
      <w:r w:rsidRPr="0073662B">
        <w:t>. 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8" o:title=""/>
          </v:shape>
          <o:OLEObject Type="Embed" ProgID="Equation.DSMT4" ShapeID="_x0000_i1025" DrawAspect="Content" ObjectID="_1572467689" r:id="rId9"/>
        </w:object>
      </w:r>
      <w:r w:rsidR="00BD3F81" w:rsidRPr="0073662B">
        <w:t xml:space="preserve">and </w:t>
      </w:r>
      <w:r w:rsidR="00BD3F81" w:rsidRPr="0073662B">
        <w:rPr>
          <w:position w:val="-14"/>
        </w:rPr>
        <w:object w:dxaOrig="2280" w:dyaOrig="400">
          <v:shape id="_x0000_i1026" type="#_x0000_t75" style="width:114.1pt;height:21.05pt" o:ole="">
            <v:imagedata r:id="rId10" o:title=""/>
          </v:shape>
          <o:OLEObject Type="Embed" ProgID="Equation.DSMT4" ShapeID="_x0000_i1026" DrawAspect="Content" ObjectID="_1572467690"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6C2369" w:rsidRPr="0073662B">
        <w:t xml:space="preserve">Figure </w:t>
      </w:r>
      <w:r w:rsidR="006C2369">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6C2369">
        <w:t>[3]</w:t>
      </w:r>
      <w:r w:rsidR="005D3AA1">
        <w:fldChar w:fldCharType="end"/>
      </w:r>
      <w:r w:rsidR="0041189B" w:rsidRPr="0073662B">
        <w:t>.</w:t>
      </w:r>
      <w:r w:rsidR="0021555E">
        <w:t xml:space="preserve"> Thorough description can be found in the companion contribution </w:t>
      </w:r>
      <w:r w:rsidR="0021555E">
        <w:fldChar w:fldCharType="begin"/>
      </w:r>
      <w:r w:rsidR="0021555E">
        <w:instrText xml:space="preserve"> REF _Ref494406673 \r \h </w:instrText>
      </w:r>
      <w:r w:rsidR="0021555E">
        <w:fldChar w:fldCharType="separate"/>
      </w:r>
      <w:r w:rsidR="006C2369">
        <w:t>[4]</w:t>
      </w:r>
      <w:r w:rsidR="0021555E">
        <w:fldChar w:fldCharType="end"/>
      </w:r>
      <w:r w:rsidR="0021555E">
        <w:t>, where it is also shown that this scheme preserves the PAPR of DFTsOFDM.</w:t>
      </w:r>
    </w:p>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D19BD" w:rsidRPr="00E13757" w:rsidRDefault="003D19BD"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3D19BD" w:rsidRPr="00E13757" w:rsidRDefault="003D19BD"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1" w:name="_Ref468985453"/>
      <w:r w:rsidRPr="0073662B">
        <w:t xml:space="preserve">Figure </w:t>
      </w:r>
      <w:fldSimple w:instr=" SEQ Figure \* ARABIC ">
        <w:r w:rsidR="006C2369">
          <w:rPr>
            <w:noProof/>
          </w:rPr>
          <w:t>1</w:t>
        </w:r>
      </w:fldSimple>
      <w:bookmarkEnd w:id="1"/>
      <w:r w:rsidRPr="0073662B">
        <w:t xml:space="preserve"> </w:t>
      </w:r>
      <w:r w:rsidR="00E13757" w:rsidRPr="0073662B">
        <w:t xml:space="preserve">- </w:t>
      </w:r>
      <w:r w:rsidRPr="0073662B">
        <w:t xml:space="preserve">SFBC for DFTsOFDM </w:t>
      </w:r>
    </w:p>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13"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2" w:name="_Ref468985465"/>
      <w:r w:rsidRPr="0073662B">
        <w:t xml:space="preserve">Figure </w:t>
      </w:r>
      <w:fldSimple w:instr=" SEQ Figure \* ARABIC ">
        <w:r w:rsidR="006C2369">
          <w:rPr>
            <w:noProof/>
          </w:rPr>
          <w:t>2</w:t>
        </w:r>
      </w:fldSimple>
      <w:bookmarkEnd w:id="2"/>
      <w:r w:rsidR="00E13757" w:rsidRPr="0073662B">
        <w:t xml:space="preserve"> - </w:t>
      </w:r>
      <w:r w:rsidR="00501E73" w:rsidRPr="0073662B">
        <w:t xml:space="preserve">Mapping of Alamouti pairs </w:t>
      </w:r>
      <w:r w:rsidRPr="0073662B">
        <w:t>to subcarriers for PAPR preserving SFBC in DFTsOFDM</w:t>
      </w:r>
    </w:p>
    <w:p w:rsidR="00BD3F81" w:rsidRPr="0021555E" w:rsidRDefault="00277E2E" w:rsidP="000826B4">
      <w:r w:rsidRPr="0021555E">
        <w:t>SC-SFBC has the following advantages:</w:t>
      </w:r>
    </w:p>
    <w:p w:rsidR="00BD3F81" w:rsidRPr="0021555E" w:rsidRDefault="00BD3F81" w:rsidP="00BD3F81">
      <w:pPr>
        <w:pStyle w:val="Paragraphedeliste"/>
        <w:numPr>
          <w:ilvl w:val="0"/>
          <w:numId w:val="43"/>
        </w:numPr>
        <w:ind w:leftChars="0"/>
      </w:pPr>
      <w:r w:rsidRPr="0021555E">
        <w:t xml:space="preserve">PAPR preserving for all constellation types, including BPSK pi/2 with </w:t>
      </w:r>
      <w:r w:rsidR="00F9786F" w:rsidRPr="0021555E">
        <w:t>or</w:t>
      </w:r>
      <w:r w:rsidRPr="0021555E">
        <w:t xml:space="preserve"> without frequency domain pulse shaping</w:t>
      </w:r>
    </w:p>
    <w:p w:rsidR="00BD3F81" w:rsidRPr="0021555E" w:rsidRDefault="00DC1EC2" w:rsidP="00BD3F81">
      <w:pPr>
        <w:pStyle w:val="Paragraphedeliste"/>
        <w:numPr>
          <w:ilvl w:val="0"/>
          <w:numId w:val="43"/>
        </w:numPr>
        <w:ind w:leftChars="0"/>
      </w:pPr>
      <w:r w:rsidRPr="0021555E">
        <w:t xml:space="preserve">operating on single symbol DFTsOFDM, </w:t>
      </w:r>
    </w:p>
    <w:p w:rsidR="00BD3F81" w:rsidRPr="0021555E" w:rsidRDefault="00DC1EC2" w:rsidP="00BD3F81">
      <w:pPr>
        <w:pStyle w:val="Paragraphedeliste"/>
        <w:numPr>
          <w:ilvl w:val="0"/>
          <w:numId w:val="43"/>
        </w:numPr>
        <w:ind w:leftChars="0"/>
      </w:pPr>
      <w:r w:rsidRPr="0021555E">
        <w:t>full diversity achieving</w:t>
      </w:r>
      <w:r w:rsidR="00C319B4" w:rsidRPr="0021555E">
        <w:t>,</w:t>
      </w:r>
      <w:r w:rsidRPr="0021555E">
        <w:t xml:space="preserve"> </w:t>
      </w:r>
    </w:p>
    <w:p w:rsidR="00C80102" w:rsidRPr="0021555E" w:rsidRDefault="00DC1EC2" w:rsidP="00BD3F81">
      <w:pPr>
        <w:pStyle w:val="Paragraphedeliste"/>
        <w:numPr>
          <w:ilvl w:val="0"/>
          <w:numId w:val="43"/>
        </w:numPr>
        <w:ind w:leftChars="0"/>
      </w:pPr>
      <w:r w:rsidRPr="0021555E">
        <w:t>with low-complexity frequency-domain decoding at subcarrier level.</w:t>
      </w:r>
    </w:p>
    <w:p w:rsidR="00257034" w:rsidRPr="00257034" w:rsidRDefault="00257034" w:rsidP="00257034"/>
    <w:p w:rsidR="00324558" w:rsidRDefault="00CF59A7" w:rsidP="00CF59A7">
      <w:pPr>
        <w:pStyle w:val="Titre2"/>
      </w:pPr>
      <w:r>
        <w:lastRenderedPageBreak/>
        <w:t>PSSCH evaluation</w:t>
      </w:r>
    </w:p>
    <w:p w:rsidR="00160772" w:rsidRPr="009B7A2E" w:rsidRDefault="00160772" w:rsidP="00160772">
      <w:r>
        <w:t xml:space="preserve">In the following, </w:t>
      </w:r>
      <w:r w:rsidRPr="0073662B">
        <w:t xml:space="preserve">SFBC is only given as a FER performance reference and is not proposed to be used for DFTsOFDM as it engenders </w:t>
      </w:r>
      <w:r w:rsidRPr="009B7A2E">
        <w:t>around 1dB PAPR loss at CCDF target 10</w:t>
      </w:r>
      <w:r w:rsidRPr="009B7A2E">
        <w:rPr>
          <w:vertAlign w:val="superscript"/>
        </w:rPr>
        <w:t>-4</w:t>
      </w:r>
      <w:r w:rsidRPr="009B7A2E">
        <w:t xml:space="preserve">. </w:t>
      </w:r>
    </w:p>
    <w:p w:rsidR="00BA31A1" w:rsidRDefault="005D3AA1" w:rsidP="005624D8">
      <w:pPr>
        <w:shd w:val="clear" w:color="auto" w:fill="FFFFFF" w:themeFill="background1"/>
      </w:pPr>
      <w:r w:rsidRPr="009B7A2E">
        <w:fldChar w:fldCharType="begin"/>
      </w:r>
      <w:r w:rsidRPr="009B7A2E">
        <w:instrText xml:space="preserve"> REF _Ref471405472 \h  \* MERGEFORMAT </w:instrText>
      </w:r>
      <w:r w:rsidRPr="009B7A2E">
        <w:fldChar w:fldCharType="separate"/>
      </w:r>
      <w:r w:rsidR="006C2369" w:rsidRPr="009B7A2E">
        <w:t>Figure 3</w:t>
      </w:r>
      <w:r w:rsidRPr="009B7A2E">
        <w:fldChar w:fldCharType="end"/>
      </w:r>
      <w:r w:rsidR="00A5442C" w:rsidRPr="009B7A2E">
        <w:t xml:space="preserve"> presents comparative performance of </w:t>
      </w:r>
      <w:r w:rsidR="00BA31A1" w:rsidRPr="009B7A2E">
        <w:t xml:space="preserve">PAPR preserving SFBC, </w:t>
      </w:r>
      <w:r w:rsidR="00BA31A1" w:rsidRPr="009B7A2E">
        <w:t>pre-DFT STBC</w:t>
      </w:r>
      <w:r w:rsidR="00BA31A1" w:rsidRPr="009B7A2E">
        <w:t>, short delay CDD, long delay CDD, PVS with different precode</w:t>
      </w:r>
      <w:r w:rsidR="00BA31A1" w:rsidRPr="009B7A2E">
        <w:t>rs and</w:t>
      </w:r>
      <w:r w:rsidR="00BA31A1" w:rsidRPr="009B7A2E">
        <w:t xml:space="preserve"> SIMO </w:t>
      </w:r>
      <w:r w:rsidR="00A5442C" w:rsidRPr="009B7A2E">
        <w:t xml:space="preserve">transmission </w:t>
      </w:r>
      <w:r w:rsidR="00A3489A" w:rsidRPr="009B7A2E">
        <w:t>in</w:t>
      </w:r>
      <w:r w:rsidR="00A3489A">
        <w:t xml:space="preserve"> a simulation setup in conformity with the current V2X agreements</w:t>
      </w:r>
      <w:r w:rsidR="002D60EA">
        <w:t xml:space="preserve"> (see Annex)</w:t>
      </w:r>
      <w:r w:rsidR="00A3489A">
        <w:t xml:space="preserve">, for QPSK ½ and 16QAM ½. </w:t>
      </w:r>
    </w:p>
    <w:p w:rsidR="0007135A" w:rsidRDefault="00BA31A1" w:rsidP="005624D8">
      <w:pPr>
        <w:shd w:val="clear" w:color="auto" w:fill="FFFFFF" w:themeFill="background1"/>
      </w:pPr>
      <w:r>
        <w:t xml:space="preserve">PAPR preserving SC-SFBC is implemented as described in </w:t>
      </w:r>
      <w:r>
        <w:fldChar w:fldCharType="begin"/>
      </w:r>
      <w:r>
        <w:instrText xml:space="preserve"> REF _Ref494406673 \r \h </w:instrText>
      </w:r>
      <w:r>
        <w:fldChar w:fldCharType="separate"/>
      </w:r>
      <w:r w:rsidR="006C2369">
        <w:t>[4]</w:t>
      </w:r>
      <w:r>
        <w:fldChar w:fldCharType="end"/>
      </w:r>
      <w:r w:rsidR="00A3489A">
        <w:t>.</w:t>
      </w:r>
      <w:r w:rsidR="00183B5B">
        <w:t xml:space="preserve"> </w:t>
      </w:r>
      <w:r>
        <w:t>A classical SFBC MMSE receiver is applied at the receiver side, since the only difference with classical SFBC is the subcarrier mapping order.</w:t>
      </w:r>
    </w:p>
    <w:p w:rsidR="00BA31A1" w:rsidRDefault="00BA31A1" w:rsidP="005624D8">
      <w:pPr>
        <w:shd w:val="clear" w:color="auto" w:fill="FFFFFF" w:themeFill="background1"/>
      </w:pPr>
      <w:r>
        <w:t>For pre-DFT STBC, Alamouti is applied within one single DFTsOFDM symbol before the DFT, among the two symbol halves. Both transmitter and receiver are more complex than in the SFBC case. The simulations were performed in an optimistic scenario for this scheme: the channel is considered static during the transmission of a DFTsOFDM symbol and Doppler effect is only visible between successive DFTsOFDM symbols. Therefore, orthogonality loss due to the channel change between the first and second symbol halves containing Alamouti pairs is neglected.</w:t>
      </w:r>
    </w:p>
    <w:p w:rsidR="00BA31A1" w:rsidRDefault="00BA31A1" w:rsidP="005624D8">
      <w:pPr>
        <w:shd w:val="clear" w:color="auto" w:fill="FFFFFF" w:themeFill="background1"/>
      </w:pPr>
      <w:r>
        <w:t>Short delay CDD considers a cyclic shift of 2 samples, and long delay CDD is considered with ½ OFDM symbol shift.</w:t>
      </w:r>
    </w:p>
    <w:p w:rsidR="00A3489A" w:rsidRDefault="00BA31A1" w:rsidP="005624D8">
      <w:pPr>
        <w:shd w:val="clear" w:color="auto" w:fill="FFFFFF" w:themeFill="background1"/>
      </w:pPr>
      <w:r>
        <w:t xml:space="preserve">PVS with transparent DMRS (equivalent to antenna switching) </w:t>
      </w:r>
      <w:r w:rsidR="00A3489A">
        <w:t xml:space="preserve">has obvious </w:t>
      </w:r>
      <w:r w:rsidR="00183B5B">
        <w:t>drawbacks</w:t>
      </w:r>
      <w:r w:rsidR="00A3489A">
        <w:t xml:space="preserve"> in </w:t>
      </w:r>
      <w:r w:rsidR="00183B5B">
        <w:t xml:space="preserve">high speed scenarios as explained in </w:t>
      </w:r>
      <w:r w:rsidR="00183B5B">
        <w:fldChar w:fldCharType="begin"/>
      </w:r>
      <w:r w:rsidR="00183B5B">
        <w:instrText xml:space="preserve"> REF _Ref494406673 \r \h </w:instrText>
      </w:r>
      <w:r w:rsidR="00183B5B">
        <w:fldChar w:fldCharType="separate"/>
      </w:r>
      <w:r w:rsidR="006C2369">
        <w:t>[4]</w:t>
      </w:r>
      <w:r w:rsidR="00183B5B">
        <w:fldChar w:fldCharType="end"/>
      </w:r>
      <w:r w:rsidR="00183B5B">
        <w:t xml:space="preserve"> and confirmed through simulation in </w:t>
      </w:r>
      <w:r w:rsidR="00183B5B">
        <w:fldChar w:fldCharType="begin"/>
      </w:r>
      <w:r w:rsidR="00183B5B">
        <w:instrText xml:space="preserve"> REF _Ref494384543 \r \h </w:instrText>
      </w:r>
      <w:r w:rsidR="00183B5B">
        <w:fldChar w:fldCharType="separate"/>
      </w:r>
      <w:r w:rsidR="006C2369">
        <w:t>[5]</w:t>
      </w:r>
      <w:r w:rsidR="00183B5B">
        <w:fldChar w:fldCharType="end"/>
      </w:r>
      <w:r w:rsidR="00183B5B">
        <w:t xml:space="preserve">, and will not be further investigated here. </w:t>
      </w:r>
    </w:p>
    <w:p w:rsidR="00BA31A1" w:rsidRDefault="00BA31A1" w:rsidP="00BA31A1">
      <w:pPr>
        <w:shd w:val="clear" w:color="auto" w:fill="FFFFFF" w:themeFill="background1"/>
      </w:pPr>
      <w:r>
        <w:t>We considered d</w:t>
      </w:r>
      <w:r>
        <w:t xml:space="preserve">ifferent time domain </w:t>
      </w:r>
      <w:r>
        <w:t xml:space="preserve">precoders </w:t>
      </w:r>
      <w:r>
        <w:t>for PVS with non-transparent DMRS</w:t>
      </w:r>
      <w:r>
        <w:t>, where channel tracking can be made at the receiver side</w:t>
      </w:r>
      <w:r>
        <w:t xml:space="preserve">. </w:t>
      </w:r>
    </w:p>
    <w:p w:rsidR="00BA31A1" w:rsidRDefault="00BA31A1" w:rsidP="005624D8">
      <w:pPr>
        <w:shd w:val="clear" w:color="auto" w:fill="FFFFFF" w:themeFill="background1"/>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RPr="006C2369" w:rsidTr="00A47724">
        <w:tc>
          <w:tcPr>
            <w:tcW w:w="4981" w:type="dxa"/>
          </w:tcPr>
          <w:p w:rsidR="001D3A4E" w:rsidRPr="006C2369" w:rsidRDefault="003F779C" w:rsidP="005624D8">
            <w:pPr>
              <w:shd w:val="clear" w:color="auto" w:fill="FFFFFF" w:themeFill="background1"/>
            </w:pPr>
            <w:r w:rsidRPr="006C2369">
              <w:rPr>
                <w:noProof/>
                <w:lang w:val="fr-FR" w:eastAsia="fr-FR"/>
              </w:rPr>
              <w:drawing>
                <wp:inline distT="0" distB="0" distL="0" distR="0">
                  <wp:extent cx="3294000" cy="3420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4000" cy="3420000"/>
                          </a:xfrm>
                          <a:prstGeom prst="rect">
                            <a:avLst/>
                          </a:prstGeom>
                          <a:noFill/>
                          <a:ln>
                            <a:noFill/>
                          </a:ln>
                        </pic:spPr>
                      </pic:pic>
                    </a:graphicData>
                  </a:graphic>
                </wp:inline>
              </w:drawing>
            </w:r>
          </w:p>
          <w:p w:rsidR="001D3A4E" w:rsidRPr="006C2369" w:rsidRDefault="00B84A0B" w:rsidP="003F779C">
            <w:pPr>
              <w:pStyle w:val="Paragraphedeliste"/>
              <w:numPr>
                <w:ilvl w:val="0"/>
                <w:numId w:val="27"/>
              </w:numPr>
              <w:shd w:val="clear" w:color="auto" w:fill="FFFFFF" w:themeFill="background1"/>
              <w:ind w:leftChars="0"/>
              <w:jc w:val="center"/>
            </w:pPr>
            <w:r w:rsidRPr="006C2369">
              <w:t xml:space="preserve">QPSK ½, </w:t>
            </w:r>
            <w:r w:rsidR="003F779C" w:rsidRPr="006C2369">
              <w:t>1000ns, 10RB, 60kmph</w:t>
            </w:r>
          </w:p>
        </w:tc>
        <w:tc>
          <w:tcPr>
            <w:tcW w:w="4981" w:type="dxa"/>
          </w:tcPr>
          <w:p w:rsidR="001D3A4E" w:rsidRPr="006C2369" w:rsidRDefault="00BF54A4" w:rsidP="005624D8">
            <w:pPr>
              <w:shd w:val="clear" w:color="auto" w:fill="FFFFFF" w:themeFill="background1"/>
            </w:pPr>
            <w:r w:rsidRPr="006C2369">
              <w:rPr>
                <w:noProof/>
                <w:lang w:val="fr-FR" w:eastAsia="fr-FR"/>
              </w:rPr>
              <w:drawing>
                <wp:inline distT="0" distB="0" distL="0" distR="0">
                  <wp:extent cx="3294000" cy="34200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4000" cy="3420000"/>
                          </a:xfrm>
                          <a:prstGeom prst="rect">
                            <a:avLst/>
                          </a:prstGeom>
                          <a:noFill/>
                          <a:ln>
                            <a:noFill/>
                          </a:ln>
                        </pic:spPr>
                      </pic:pic>
                    </a:graphicData>
                  </a:graphic>
                </wp:inline>
              </w:drawing>
            </w:r>
          </w:p>
          <w:p w:rsidR="001D3A4E" w:rsidRPr="006C2369" w:rsidRDefault="00B84A0B" w:rsidP="00BF54A4">
            <w:pPr>
              <w:pStyle w:val="Paragraphedeliste"/>
              <w:keepNext/>
              <w:numPr>
                <w:ilvl w:val="0"/>
                <w:numId w:val="27"/>
              </w:numPr>
              <w:shd w:val="clear" w:color="auto" w:fill="FFFFFF" w:themeFill="background1"/>
              <w:ind w:leftChars="0"/>
              <w:jc w:val="center"/>
            </w:pPr>
            <w:r w:rsidRPr="006C2369">
              <w:t xml:space="preserve">16QAM ½, </w:t>
            </w:r>
            <w:r w:rsidR="00BF54A4" w:rsidRPr="006C2369">
              <w:t>300ns, 8RB, 60kmpk</w:t>
            </w:r>
          </w:p>
        </w:tc>
      </w:tr>
    </w:tbl>
    <w:p w:rsidR="001D3A4E" w:rsidRPr="00B84A0B" w:rsidRDefault="001D3A4E" w:rsidP="005624D8">
      <w:pPr>
        <w:pStyle w:val="Lgende"/>
        <w:shd w:val="clear" w:color="auto" w:fill="FFFFFF" w:themeFill="background1"/>
        <w:jc w:val="center"/>
      </w:pPr>
      <w:bookmarkStart w:id="3" w:name="_Ref471405472"/>
      <w:r w:rsidRPr="006C2369">
        <w:t xml:space="preserve">Figure </w:t>
      </w:r>
      <w:fldSimple w:instr=" SEQ Figure \* ARABIC ">
        <w:r w:rsidR="006C2369">
          <w:rPr>
            <w:noProof/>
          </w:rPr>
          <w:t>3</w:t>
        </w:r>
      </w:fldSimple>
      <w:bookmarkEnd w:id="3"/>
      <w:r w:rsidR="00B84A0B" w:rsidRPr="006C2369">
        <w:t xml:space="preserve"> - Fc=6</w:t>
      </w:r>
      <w:r w:rsidRPr="006C2369">
        <w:t xml:space="preserve">GHz, </w:t>
      </w:r>
      <w:r w:rsidR="003F779C" w:rsidRPr="006C2369">
        <w:rPr>
          <w:sz w:val="22"/>
          <w:szCs w:val="22"/>
        </w:rPr>
        <w:t>ITU UMi NLOS CDL</w:t>
      </w:r>
      <w:r w:rsidR="00B84A0B" w:rsidRPr="006C2369">
        <w:rPr>
          <w:sz w:val="22"/>
          <w:szCs w:val="22"/>
        </w:rPr>
        <w:t xml:space="preserve">, </w:t>
      </w:r>
      <w:r w:rsidR="00B84A0B" w:rsidRPr="006C2369">
        <w:rPr>
          <w:rFonts w:eastAsia="MS Mincho"/>
          <w:lang w:val="en-GB"/>
        </w:rPr>
        <w:t>0.1 PPM for TX and -0.1 PPM for RX w.r.t. UE’s sync reference</w:t>
      </w:r>
    </w:p>
    <w:p w:rsidR="006C2369" w:rsidRDefault="006C2369" w:rsidP="00B21981">
      <w:pPr>
        <w:shd w:val="clear" w:color="auto" w:fill="FFFFFF" w:themeFill="background1"/>
      </w:pPr>
    </w:p>
    <w:p w:rsidR="006C2369" w:rsidRDefault="006C2369" w:rsidP="00B21981">
      <w:pPr>
        <w:shd w:val="clear" w:color="auto" w:fill="FFFFFF" w:themeFill="background1"/>
      </w:pPr>
      <w:r>
        <w:lastRenderedPageBreak/>
        <w:t xml:space="preserve">We have investigated the proposed schemes in a large number of scenarios. An example is given in </w:t>
      </w:r>
      <w:r>
        <w:fldChar w:fldCharType="begin"/>
      </w:r>
      <w:r>
        <w:instrText xml:space="preserve"> REF _Ref471405472 \h </w:instrText>
      </w:r>
      <w:r>
        <w:fldChar w:fldCharType="separate"/>
      </w:r>
      <w:r w:rsidRPr="006C2369">
        <w:t xml:space="preserve">Figure </w:t>
      </w:r>
      <w:r>
        <w:rPr>
          <w:noProof/>
        </w:rPr>
        <w:t>3</w:t>
      </w:r>
      <w:r>
        <w:fldChar w:fldCharType="end"/>
      </w:r>
      <w:r>
        <w:t xml:space="preserve"> and full results are summarized in </w:t>
      </w:r>
      <w:r>
        <w:fldChar w:fldCharType="begin"/>
      </w:r>
      <w:r>
        <w:instrText xml:space="preserve"> REF _Ref498724653 \h </w:instrText>
      </w:r>
      <w:r>
        <w:fldChar w:fldCharType="separate"/>
      </w:r>
      <w:r>
        <w:t xml:space="preserve">Table </w:t>
      </w:r>
      <w:r>
        <w:rPr>
          <w:noProof/>
        </w:rPr>
        <w:t>1</w:t>
      </w:r>
      <w:r>
        <w:fldChar w:fldCharType="end"/>
      </w:r>
      <w:r>
        <w:t xml:space="preserve">and </w:t>
      </w:r>
      <w:r>
        <w:fldChar w:fldCharType="begin"/>
      </w:r>
      <w:r>
        <w:instrText xml:space="preserve"> REF _Ref498724655 \h </w:instrText>
      </w:r>
      <w:r>
        <w:fldChar w:fldCharType="separate"/>
      </w:r>
      <w:r>
        <w:t xml:space="preserve">Table </w:t>
      </w:r>
      <w:r>
        <w:rPr>
          <w:noProof/>
        </w:rPr>
        <w:t>2</w:t>
      </w:r>
      <w:r>
        <w:fldChar w:fldCharType="end"/>
      </w:r>
      <w:r>
        <w:t xml:space="preserve">. </w:t>
      </w:r>
      <w:r>
        <w:fldChar w:fldCharType="begin"/>
      </w:r>
      <w:r>
        <w:instrText xml:space="preserve"> REF _Ref498724653 \h </w:instrText>
      </w:r>
      <w:r>
        <w:fldChar w:fldCharType="separate"/>
      </w:r>
      <w:r>
        <w:t xml:space="preserve">Table </w:t>
      </w:r>
      <w:r>
        <w:rPr>
          <w:noProof/>
        </w:rPr>
        <w:t>1</w:t>
      </w:r>
      <w:r>
        <w:fldChar w:fldCharType="end"/>
      </w:r>
      <w:r>
        <w:t xml:space="preserve">and </w:t>
      </w:r>
      <w:r>
        <w:fldChar w:fldCharType="begin"/>
      </w:r>
      <w:r>
        <w:instrText xml:space="preserve"> REF _Ref498724655 \h </w:instrText>
      </w:r>
      <w:r>
        <w:fldChar w:fldCharType="separate"/>
      </w:r>
      <w:r>
        <w:t xml:space="preserve">Table </w:t>
      </w:r>
      <w:r>
        <w:rPr>
          <w:noProof/>
        </w:rPr>
        <w:t>2</w:t>
      </w:r>
      <w:r>
        <w:fldChar w:fldCharType="end"/>
      </w:r>
      <w:r>
        <w:t xml:space="preserve"> summarize the gain of SC-SFBC (in dB, understood as SNR gain at target FER=10</w:t>
      </w:r>
      <w:r w:rsidRPr="006C2369">
        <w:rPr>
          <w:vertAlign w:val="superscript"/>
        </w:rPr>
        <w:t>-1</w:t>
      </w:r>
      <w:r>
        <w:t>) over the other transmit diversity schemes for QPSK and 16QAM respectively. The color code in the tables is used to indicate:</w:t>
      </w:r>
    </w:p>
    <w:p w:rsidR="006C2369" w:rsidRDefault="006C2369" w:rsidP="006C2369">
      <w:pPr>
        <w:pStyle w:val="Paragraphedeliste"/>
        <w:numPr>
          <w:ilvl w:val="0"/>
          <w:numId w:val="43"/>
        </w:numPr>
        <w:shd w:val="clear" w:color="auto" w:fill="FFFFFF" w:themeFill="background1"/>
        <w:ind w:leftChars="0"/>
      </w:pPr>
      <w:r>
        <w:t xml:space="preserve">in </w:t>
      </w:r>
      <w:r w:rsidRPr="006C2369">
        <w:rPr>
          <w:color w:val="E36C0A" w:themeColor="accent6" w:themeShade="BF"/>
        </w:rPr>
        <w:t>orange</w:t>
      </w:r>
      <w:r>
        <w:t xml:space="preserve">, the cases where competing scheme has </w:t>
      </w:r>
      <w:r w:rsidRPr="006C2369">
        <w:rPr>
          <w:color w:val="E36C0A" w:themeColor="accent6" w:themeShade="BF"/>
        </w:rPr>
        <w:t xml:space="preserve">performance close to SC-SFBC </w:t>
      </w:r>
      <w:r>
        <w:t xml:space="preserve">(less than 0.5dB difference) </w:t>
      </w:r>
    </w:p>
    <w:p w:rsidR="006C2369" w:rsidRDefault="006C2369" w:rsidP="006C2369">
      <w:pPr>
        <w:pStyle w:val="Paragraphedeliste"/>
        <w:numPr>
          <w:ilvl w:val="0"/>
          <w:numId w:val="43"/>
        </w:numPr>
        <w:shd w:val="clear" w:color="auto" w:fill="FFFFFF" w:themeFill="background1"/>
        <w:ind w:leftChars="0"/>
      </w:pPr>
      <w:r>
        <w:t xml:space="preserve">in </w:t>
      </w:r>
      <w:r w:rsidRPr="006C2369">
        <w:rPr>
          <w:color w:val="FF0000"/>
        </w:rPr>
        <w:t>red</w:t>
      </w:r>
      <w:r>
        <w:t xml:space="preserve">, the cases where competing scheme has performance </w:t>
      </w:r>
      <w:r w:rsidRPr="006C2369">
        <w:rPr>
          <w:color w:val="FF0000"/>
        </w:rPr>
        <w:t>significantly worse than SC-SFBC</w:t>
      </w:r>
    </w:p>
    <w:p w:rsidR="006C2369" w:rsidRPr="00273C94" w:rsidRDefault="006C2369" w:rsidP="006C2369">
      <w:pPr>
        <w:pStyle w:val="Paragraphedeliste"/>
        <w:numPr>
          <w:ilvl w:val="0"/>
          <w:numId w:val="43"/>
        </w:numPr>
        <w:shd w:val="clear" w:color="auto" w:fill="FFFFFF" w:themeFill="background1"/>
        <w:ind w:leftChars="0"/>
      </w:pPr>
      <w:r>
        <w:t xml:space="preserve">in </w:t>
      </w:r>
      <w:r w:rsidRPr="006C2369">
        <w:rPr>
          <w:color w:val="00B050"/>
        </w:rPr>
        <w:t>green</w:t>
      </w:r>
      <w:r>
        <w:t xml:space="preserve">, the cases where competing scheme has </w:t>
      </w:r>
      <w:r w:rsidRPr="006C2369">
        <w:rPr>
          <w:color w:val="00B050"/>
        </w:rPr>
        <w:t>performance gain over SC-SFBC</w:t>
      </w:r>
    </w:p>
    <w:p w:rsidR="00273C94" w:rsidRDefault="00273C94" w:rsidP="00273C94">
      <w:pPr>
        <w:shd w:val="clear" w:color="auto" w:fill="FFFFFF" w:themeFill="background1"/>
      </w:pPr>
    </w:p>
    <w:p w:rsidR="00380FB8" w:rsidRDefault="00380FB8" w:rsidP="00380FB8">
      <w:pPr>
        <w:pStyle w:val="Lgende"/>
        <w:keepNext/>
      </w:pPr>
      <w:bookmarkStart w:id="4" w:name="_Ref498724653"/>
      <w:r>
        <w:t xml:space="preserve">Table </w:t>
      </w:r>
      <w:fldSimple w:instr=" SEQ Table \* ARABIC ">
        <w:r w:rsidR="006C2369">
          <w:rPr>
            <w:noProof/>
          </w:rPr>
          <w:t>1</w:t>
        </w:r>
      </w:fldSimple>
      <w:bookmarkEnd w:id="4"/>
      <w:r>
        <w:t xml:space="preserve"> SNR gain at FER=10</w:t>
      </w:r>
      <w:r w:rsidRPr="00380FB8">
        <w:rPr>
          <w:vertAlign w:val="superscript"/>
        </w:rPr>
        <w:t>-1</w:t>
      </w:r>
      <w:r>
        <w:t xml:space="preserve"> of SC-SFBC over other diversity schemes for QPSK modulation</w:t>
      </w:r>
    </w:p>
    <w:tbl>
      <w:tblPr>
        <w:tblStyle w:val="Grilledutableau"/>
        <w:tblW w:w="0" w:type="auto"/>
        <w:tblLook w:val="04A0" w:firstRow="1" w:lastRow="0" w:firstColumn="1" w:lastColumn="0" w:noHBand="0" w:noVBand="1"/>
      </w:tblPr>
      <w:tblGrid>
        <w:gridCol w:w="512"/>
        <w:gridCol w:w="972"/>
        <w:gridCol w:w="698"/>
        <w:gridCol w:w="867"/>
        <w:gridCol w:w="868"/>
        <w:gridCol w:w="867"/>
        <w:gridCol w:w="868"/>
        <w:gridCol w:w="868"/>
        <w:gridCol w:w="867"/>
        <w:gridCol w:w="868"/>
        <w:gridCol w:w="868"/>
      </w:tblGrid>
      <w:tr w:rsidR="00380FB8" w:rsidRPr="00380FB8" w:rsidTr="003D19BD">
        <w:tc>
          <w:tcPr>
            <w:tcW w:w="452" w:type="dxa"/>
            <w:shd w:val="clear" w:color="auto" w:fill="EEECE1"/>
          </w:tcPr>
          <w:p w:rsidR="00380FB8" w:rsidRPr="00380FB8" w:rsidRDefault="00380FB8" w:rsidP="00F20A97">
            <w:pPr>
              <w:spacing w:after="60"/>
              <w:jc w:val="left"/>
              <w:rPr>
                <w:rFonts w:eastAsia="MS Mincho"/>
                <w:b/>
                <w:sz w:val="20"/>
                <w:szCs w:val="20"/>
              </w:rPr>
            </w:pPr>
          </w:p>
        </w:tc>
        <w:tc>
          <w:tcPr>
            <w:tcW w:w="972" w:type="dxa"/>
            <w:shd w:val="clear" w:color="auto" w:fill="EEECE1"/>
          </w:tcPr>
          <w:p w:rsidR="00380FB8" w:rsidRPr="00380FB8" w:rsidRDefault="00380FB8" w:rsidP="00F20A97">
            <w:pPr>
              <w:spacing w:after="60"/>
              <w:jc w:val="left"/>
              <w:rPr>
                <w:rFonts w:eastAsia="MS Mincho"/>
                <w:b/>
                <w:sz w:val="20"/>
                <w:szCs w:val="20"/>
              </w:rPr>
            </w:pPr>
          </w:p>
        </w:tc>
        <w:tc>
          <w:tcPr>
            <w:tcW w:w="698" w:type="dxa"/>
            <w:shd w:val="clear" w:color="auto" w:fill="EEECE1"/>
          </w:tcPr>
          <w:p w:rsidR="00380FB8" w:rsidRPr="00380FB8" w:rsidRDefault="00380FB8" w:rsidP="00F20A97">
            <w:pPr>
              <w:spacing w:after="60"/>
              <w:jc w:val="left"/>
              <w:rPr>
                <w:rFonts w:eastAsia="MS Mincho"/>
                <w:b/>
                <w:sz w:val="20"/>
                <w:szCs w:val="20"/>
              </w:rPr>
            </w:pPr>
          </w:p>
        </w:tc>
        <w:tc>
          <w:tcPr>
            <w:tcW w:w="867"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pre-DFT</w:t>
            </w:r>
            <w:r w:rsidR="00380FB8" w:rsidRPr="00380FB8">
              <w:rPr>
                <w:rFonts w:eastAsia="MS Mincho"/>
                <w:b/>
                <w:sz w:val="20"/>
                <w:szCs w:val="20"/>
              </w:rPr>
              <w:t xml:space="preserve">-STBC </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SFBC</w:t>
            </w:r>
            <w:r w:rsidR="006C2369">
              <w:rPr>
                <w:rFonts w:eastAsia="MS Mincho"/>
                <w:b/>
                <w:sz w:val="20"/>
                <w:szCs w:val="20"/>
              </w:rPr>
              <w:t>*</w:t>
            </w:r>
          </w:p>
        </w:tc>
        <w:tc>
          <w:tcPr>
            <w:tcW w:w="867"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SD-CDD</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LD-CDD</w:t>
            </w:r>
          </w:p>
        </w:tc>
        <w:tc>
          <w:tcPr>
            <w:tcW w:w="868"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1</w:t>
            </w:r>
          </w:p>
        </w:tc>
        <w:tc>
          <w:tcPr>
            <w:tcW w:w="867"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2</w:t>
            </w:r>
          </w:p>
        </w:tc>
        <w:tc>
          <w:tcPr>
            <w:tcW w:w="868"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3</w:t>
            </w:r>
          </w:p>
        </w:tc>
        <w:tc>
          <w:tcPr>
            <w:tcW w:w="868"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SIMO</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130ns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2.2dB</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300ns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1.5dB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r>
      <w:tr w:rsidR="00F20A97" w:rsidRPr="00380FB8" w:rsidTr="00380FB8">
        <w:tc>
          <w:tcPr>
            <w:tcW w:w="452" w:type="dxa"/>
            <w:vMerge/>
            <w:shd w:val="clear" w:color="auto" w:fill="EEECE1"/>
            <w:textDirection w:val="btLr"/>
          </w:tcPr>
          <w:p w:rsidR="00F20A97" w:rsidRPr="00380FB8" w:rsidRDefault="00F20A97" w:rsidP="00F20A97">
            <w:pPr>
              <w:spacing w:after="60"/>
              <w:ind w:right="113"/>
              <w:jc w:val="center"/>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r>
      <w:tr w:rsidR="00F20A97" w:rsidRPr="00380FB8" w:rsidTr="00380FB8">
        <w:tc>
          <w:tcPr>
            <w:tcW w:w="452" w:type="dxa"/>
            <w:vMerge w:val="restart"/>
            <w:shd w:val="clear" w:color="auto" w:fill="EEECE1"/>
            <w:textDirection w:val="btLr"/>
          </w:tcPr>
          <w:p w:rsidR="00F20A97" w:rsidRPr="00380FB8" w:rsidRDefault="00F20A97" w:rsidP="00F20A97">
            <w:pPr>
              <w:spacing w:after="60"/>
              <w:ind w:right="113"/>
              <w:jc w:val="center"/>
              <w:rPr>
                <w:rFonts w:eastAsia="MS Mincho"/>
                <w:sz w:val="20"/>
                <w:szCs w:val="20"/>
              </w:rPr>
            </w:pPr>
            <w:r w:rsidRPr="00380FB8">
              <w:rPr>
                <w:rFonts w:eastAsia="MS Mincho"/>
                <w:sz w:val="20"/>
                <w:szCs w:val="20"/>
              </w:rPr>
              <w:t>1000ns</w:t>
            </w: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15kmph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1.1dB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00B050"/>
                <w:sz w:val="20"/>
                <w:szCs w:val="20"/>
              </w:rPr>
              <w:t>-0.6dB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-0.6dB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60kmph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0.9dB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0.5dB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0.6dB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-0.5dB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0.7dB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val="restart"/>
            <w:shd w:val="clear" w:color="auto" w:fill="EEECE1"/>
          </w:tcPr>
          <w:p w:rsidR="00F20A97" w:rsidRPr="00380FB8" w:rsidRDefault="00F20A97" w:rsidP="00F20A97">
            <w:pPr>
              <w:spacing w:after="60"/>
              <w:jc w:val="left"/>
              <w:rPr>
                <w:rFonts w:eastAsia="MS Mincho"/>
                <w:sz w:val="20"/>
                <w:szCs w:val="20"/>
              </w:rPr>
            </w:pPr>
            <w:r w:rsidRPr="00380FB8">
              <w:rPr>
                <w:rFonts w:eastAsia="MS Mincho"/>
                <w:sz w:val="20"/>
                <w:szCs w:val="20"/>
              </w:rPr>
              <w:t>120kmph</w:t>
            </w:r>
          </w:p>
        </w:tc>
        <w:tc>
          <w:tcPr>
            <w:tcW w:w="698" w:type="dxa"/>
          </w:tcPr>
          <w:p w:rsidR="00F20A97" w:rsidRPr="00F20A97" w:rsidRDefault="00F20A97" w:rsidP="00F20A97">
            <w:pPr>
              <w:spacing w:after="60"/>
              <w:rPr>
                <w:sz w:val="20"/>
                <w:szCs w:val="20"/>
              </w:rPr>
            </w:pPr>
            <w:r w:rsidRPr="00F20A97">
              <w:rPr>
                <w:sz w:val="20"/>
                <w:szCs w:val="20"/>
              </w:rPr>
              <w:t>10RB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0dB</w:t>
            </w:r>
          </w:p>
        </w:tc>
        <w:tc>
          <w:tcPr>
            <w:tcW w:w="867" w:type="dxa"/>
            <w:vAlign w:val="center"/>
          </w:tcPr>
          <w:p w:rsidR="00F20A97" w:rsidRPr="00380FB8" w:rsidRDefault="00F20A97" w:rsidP="00F20A97">
            <w:pPr>
              <w:spacing w:after="60"/>
              <w:jc w:val="center"/>
              <w:rPr>
                <w:rFonts w:eastAsia="MS Mincho"/>
                <w:sz w:val="20"/>
                <w:szCs w:val="20"/>
              </w:rPr>
            </w:pPr>
            <w:r w:rsidRPr="00380FB8">
              <w:rPr>
                <w:rFonts w:eastAsia="MS Mincho"/>
                <w:color w:val="C00000"/>
                <w:sz w:val="20"/>
                <w:szCs w:val="20"/>
              </w:rPr>
              <w:t>1dB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1.4dB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1.6dB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1.3dB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16RB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r w:rsidR="00F20A97" w:rsidRPr="00380FB8" w:rsidTr="003D19BD">
        <w:tc>
          <w:tcPr>
            <w:tcW w:w="452" w:type="dxa"/>
            <w:vMerge/>
            <w:shd w:val="clear" w:color="auto" w:fill="EEECE1"/>
          </w:tcPr>
          <w:p w:rsidR="00F20A97" w:rsidRPr="00380FB8" w:rsidRDefault="00F20A97" w:rsidP="00F20A97">
            <w:pPr>
              <w:spacing w:after="60"/>
              <w:jc w:val="left"/>
              <w:rPr>
                <w:rFonts w:eastAsia="MS Mincho"/>
                <w:sz w:val="20"/>
                <w:szCs w:val="20"/>
              </w:rPr>
            </w:pPr>
          </w:p>
        </w:tc>
        <w:tc>
          <w:tcPr>
            <w:tcW w:w="972" w:type="dxa"/>
            <w:vMerge/>
            <w:shd w:val="clear" w:color="auto" w:fill="EEECE1"/>
          </w:tcPr>
          <w:p w:rsidR="00F20A97" w:rsidRPr="00380FB8" w:rsidRDefault="00F20A97" w:rsidP="00F20A97">
            <w:pPr>
              <w:spacing w:after="60"/>
              <w:jc w:val="left"/>
              <w:rPr>
                <w:rFonts w:eastAsia="MS Mincho"/>
                <w:sz w:val="20"/>
                <w:szCs w:val="20"/>
              </w:rPr>
            </w:pPr>
          </w:p>
        </w:tc>
        <w:tc>
          <w:tcPr>
            <w:tcW w:w="698" w:type="dxa"/>
          </w:tcPr>
          <w:p w:rsidR="00F20A97" w:rsidRPr="00F20A97" w:rsidRDefault="00F20A97" w:rsidP="00F20A97">
            <w:pPr>
              <w:spacing w:after="60"/>
              <w:rPr>
                <w:sz w:val="20"/>
                <w:szCs w:val="20"/>
              </w:rPr>
            </w:pPr>
            <w:r w:rsidRPr="00F20A97">
              <w:rPr>
                <w:sz w:val="20"/>
                <w:szCs w:val="20"/>
              </w:rPr>
              <w:t>44RB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7" w:type="dxa"/>
            <w:vAlign w:val="center"/>
          </w:tcPr>
          <w:p w:rsidR="00F20A97" w:rsidRPr="00380FB8" w:rsidRDefault="00F20A97" w:rsidP="00F20A97">
            <w:pPr>
              <w:spacing w:after="60"/>
              <w:jc w:val="center"/>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0.4dB</w:t>
            </w:r>
          </w:p>
        </w:tc>
        <w:tc>
          <w:tcPr>
            <w:tcW w:w="868" w:type="dxa"/>
            <w:vAlign w:val="center"/>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c>
          <w:tcPr>
            <w:tcW w:w="867"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0.8dB</w:t>
            </w:r>
          </w:p>
        </w:tc>
        <w:tc>
          <w:tcPr>
            <w:tcW w:w="868" w:type="dxa"/>
          </w:tcPr>
          <w:p w:rsidR="00F20A97" w:rsidRPr="00380FB8" w:rsidRDefault="00F20A97" w:rsidP="00F20A97">
            <w:pPr>
              <w:spacing w:after="60"/>
              <w:jc w:val="center"/>
              <w:rPr>
                <w:rFonts w:eastAsia="MS Mincho"/>
                <w:color w:val="C00000"/>
                <w:sz w:val="20"/>
                <w:szCs w:val="20"/>
              </w:rPr>
            </w:pPr>
            <w:r w:rsidRPr="00380FB8">
              <w:rPr>
                <w:rFonts w:eastAsia="MS Mincho"/>
                <w:color w:val="C00000"/>
                <w:sz w:val="20"/>
                <w:szCs w:val="20"/>
              </w:rPr>
              <w:t>1.2dB</w:t>
            </w:r>
          </w:p>
        </w:tc>
      </w:tr>
    </w:tbl>
    <w:p w:rsidR="00380FB8" w:rsidRPr="006C2369" w:rsidRDefault="006C2369" w:rsidP="006C2369">
      <w:pPr>
        <w:spacing w:after="160" w:line="259" w:lineRule="auto"/>
        <w:jc w:val="left"/>
        <w:rPr>
          <w:rFonts w:ascii="Calibri" w:eastAsia="Calibri" w:hAnsi="Calibri"/>
          <w:sz w:val="22"/>
          <w:szCs w:val="22"/>
          <w:lang w:eastAsia="en-US"/>
        </w:rPr>
      </w:pPr>
      <w:r w:rsidRPr="006C2369">
        <w:rPr>
          <w:rFonts w:ascii="Calibri" w:eastAsia="Calibri" w:hAnsi="Calibri"/>
          <w:sz w:val="22"/>
          <w:szCs w:val="22"/>
          <w:lang w:eastAsia="en-US"/>
        </w:rPr>
        <w:t>*SFBC has a PAPR loss not taken into account in the table here-above</w:t>
      </w:r>
    </w:p>
    <w:p w:rsidR="00F20A97" w:rsidRPr="006C2369" w:rsidRDefault="00F20A97" w:rsidP="00380FB8">
      <w:pPr>
        <w:spacing w:after="160" w:line="259" w:lineRule="auto"/>
        <w:jc w:val="left"/>
        <w:rPr>
          <w:rFonts w:ascii="Calibri" w:eastAsia="Calibri" w:hAnsi="Calibri"/>
          <w:sz w:val="22"/>
          <w:szCs w:val="22"/>
          <w:lang w:eastAsia="en-US"/>
        </w:rPr>
      </w:pPr>
    </w:p>
    <w:p w:rsidR="00F20A97" w:rsidRPr="006C2369" w:rsidRDefault="00F20A97" w:rsidP="00380FB8">
      <w:pPr>
        <w:spacing w:after="160" w:line="259" w:lineRule="auto"/>
        <w:jc w:val="left"/>
        <w:rPr>
          <w:rFonts w:ascii="Calibri" w:eastAsia="Calibri" w:hAnsi="Calibri"/>
          <w:sz w:val="22"/>
          <w:szCs w:val="22"/>
          <w:lang w:eastAsia="en-US"/>
        </w:rPr>
      </w:pPr>
    </w:p>
    <w:p w:rsidR="00F20A97" w:rsidRPr="006C2369" w:rsidRDefault="00F20A97" w:rsidP="00380FB8">
      <w:pPr>
        <w:spacing w:after="160" w:line="259" w:lineRule="auto"/>
        <w:jc w:val="left"/>
        <w:rPr>
          <w:rFonts w:ascii="Calibri" w:eastAsia="Calibri" w:hAnsi="Calibri"/>
          <w:sz w:val="22"/>
          <w:szCs w:val="22"/>
          <w:lang w:eastAsia="en-US"/>
        </w:rPr>
      </w:pPr>
    </w:p>
    <w:p w:rsidR="00F20A97" w:rsidRPr="006C2369" w:rsidRDefault="00F20A97" w:rsidP="00380FB8">
      <w:pPr>
        <w:spacing w:after="160" w:line="259" w:lineRule="auto"/>
        <w:jc w:val="left"/>
        <w:rPr>
          <w:rFonts w:ascii="Calibri" w:eastAsia="Calibri" w:hAnsi="Calibri"/>
          <w:sz w:val="22"/>
          <w:szCs w:val="22"/>
          <w:lang w:eastAsia="en-US"/>
        </w:rPr>
      </w:pPr>
    </w:p>
    <w:p w:rsidR="00380FB8" w:rsidRDefault="00380FB8" w:rsidP="00380FB8">
      <w:pPr>
        <w:pStyle w:val="Lgende"/>
        <w:keepNext/>
      </w:pPr>
      <w:bookmarkStart w:id="5" w:name="_Ref498724655"/>
      <w:r>
        <w:lastRenderedPageBreak/>
        <w:t xml:space="preserve">Table </w:t>
      </w:r>
      <w:fldSimple w:instr=" SEQ Table \* ARABIC ">
        <w:r w:rsidR="006C2369">
          <w:rPr>
            <w:noProof/>
          </w:rPr>
          <w:t>2</w:t>
        </w:r>
      </w:fldSimple>
      <w:bookmarkEnd w:id="5"/>
      <w:r>
        <w:t xml:space="preserve"> SNR gain at FER=10</w:t>
      </w:r>
      <w:r w:rsidRPr="00380FB8">
        <w:rPr>
          <w:vertAlign w:val="superscript"/>
        </w:rPr>
        <w:t>-1</w:t>
      </w:r>
      <w:r>
        <w:t xml:space="preserve"> of SC-SFBC over other diversity schemes for 16QAM modulation</w:t>
      </w:r>
    </w:p>
    <w:tbl>
      <w:tblPr>
        <w:tblStyle w:val="Grilledutableau"/>
        <w:tblW w:w="9163" w:type="dxa"/>
        <w:tblLook w:val="04A0" w:firstRow="1" w:lastRow="0" w:firstColumn="1" w:lastColumn="0" w:noHBand="0" w:noVBand="1"/>
      </w:tblPr>
      <w:tblGrid>
        <w:gridCol w:w="512"/>
        <w:gridCol w:w="972"/>
        <w:gridCol w:w="697"/>
        <w:gridCol w:w="874"/>
        <w:gridCol w:w="877"/>
        <w:gridCol w:w="871"/>
        <w:gridCol w:w="871"/>
        <w:gridCol w:w="871"/>
        <w:gridCol w:w="871"/>
        <w:gridCol w:w="871"/>
        <w:gridCol w:w="876"/>
      </w:tblGrid>
      <w:tr w:rsidR="00380FB8" w:rsidRPr="00380FB8" w:rsidTr="006C2369">
        <w:tc>
          <w:tcPr>
            <w:tcW w:w="512" w:type="dxa"/>
            <w:shd w:val="clear" w:color="auto" w:fill="EEECE1"/>
          </w:tcPr>
          <w:p w:rsidR="00380FB8" w:rsidRPr="00380FB8" w:rsidRDefault="00380FB8" w:rsidP="00F20A97">
            <w:pPr>
              <w:spacing w:after="60"/>
              <w:jc w:val="left"/>
              <w:rPr>
                <w:rFonts w:eastAsia="MS Mincho"/>
                <w:b/>
                <w:sz w:val="20"/>
                <w:szCs w:val="20"/>
              </w:rPr>
            </w:pPr>
          </w:p>
        </w:tc>
        <w:tc>
          <w:tcPr>
            <w:tcW w:w="972" w:type="dxa"/>
            <w:shd w:val="clear" w:color="auto" w:fill="EEECE1"/>
          </w:tcPr>
          <w:p w:rsidR="00380FB8" w:rsidRPr="00380FB8" w:rsidRDefault="00380FB8" w:rsidP="00F20A97">
            <w:pPr>
              <w:spacing w:after="60"/>
              <w:jc w:val="left"/>
              <w:rPr>
                <w:rFonts w:eastAsia="MS Mincho"/>
                <w:b/>
                <w:sz w:val="20"/>
                <w:szCs w:val="20"/>
              </w:rPr>
            </w:pPr>
          </w:p>
        </w:tc>
        <w:tc>
          <w:tcPr>
            <w:tcW w:w="697" w:type="dxa"/>
            <w:shd w:val="clear" w:color="auto" w:fill="EEECE1"/>
          </w:tcPr>
          <w:p w:rsidR="00380FB8" w:rsidRPr="00380FB8" w:rsidRDefault="00380FB8" w:rsidP="00F20A97">
            <w:pPr>
              <w:spacing w:after="60"/>
              <w:jc w:val="left"/>
              <w:rPr>
                <w:rFonts w:eastAsia="MS Mincho"/>
                <w:b/>
                <w:sz w:val="20"/>
                <w:szCs w:val="20"/>
              </w:rPr>
            </w:pPr>
          </w:p>
        </w:tc>
        <w:tc>
          <w:tcPr>
            <w:tcW w:w="874" w:type="dxa"/>
            <w:shd w:val="clear" w:color="auto" w:fill="EEECE1"/>
          </w:tcPr>
          <w:p w:rsidR="00380FB8" w:rsidRPr="00380FB8" w:rsidRDefault="00BA31A1" w:rsidP="00BA31A1">
            <w:pPr>
              <w:spacing w:after="60"/>
              <w:jc w:val="left"/>
              <w:rPr>
                <w:rFonts w:eastAsia="MS Mincho"/>
                <w:b/>
                <w:sz w:val="20"/>
                <w:szCs w:val="20"/>
              </w:rPr>
            </w:pPr>
            <w:r>
              <w:rPr>
                <w:rFonts w:eastAsia="MS Mincho"/>
                <w:b/>
                <w:sz w:val="20"/>
                <w:szCs w:val="20"/>
              </w:rPr>
              <w:t xml:space="preserve">pre-DFT </w:t>
            </w:r>
            <w:r w:rsidR="00380FB8" w:rsidRPr="00380FB8">
              <w:rPr>
                <w:rFonts w:eastAsia="MS Mincho"/>
                <w:b/>
                <w:sz w:val="20"/>
                <w:szCs w:val="20"/>
              </w:rPr>
              <w:t xml:space="preserve">STBC </w:t>
            </w:r>
          </w:p>
        </w:tc>
        <w:tc>
          <w:tcPr>
            <w:tcW w:w="877"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SFBC</w:t>
            </w:r>
            <w:r w:rsidR="006C2369">
              <w:rPr>
                <w:rFonts w:eastAsia="MS Mincho"/>
                <w:b/>
                <w:sz w:val="20"/>
                <w:szCs w:val="20"/>
              </w:rPr>
              <w:t>*</w:t>
            </w:r>
          </w:p>
        </w:tc>
        <w:tc>
          <w:tcPr>
            <w:tcW w:w="871"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SD-CDD</w:t>
            </w:r>
          </w:p>
        </w:tc>
        <w:tc>
          <w:tcPr>
            <w:tcW w:w="871"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LD-CDD</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1</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2</w:t>
            </w:r>
          </w:p>
        </w:tc>
        <w:tc>
          <w:tcPr>
            <w:tcW w:w="871" w:type="dxa"/>
            <w:shd w:val="clear" w:color="auto" w:fill="EEECE1"/>
          </w:tcPr>
          <w:p w:rsidR="00380FB8" w:rsidRPr="00380FB8" w:rsidRDefault="00BA31A1" w:rsidP="00F20A97">
            <w:pPr>
              <w:spacing w:after="60"/>
              <w:jc w:val="left"/>
              <w:rPr>
                <w:rFonts w:eastAsia="MS Mincho"/>
                <w:b/>
                <w:sz w:val="20"/>
                <w:szCs w:val="20"/>
              </w:rPr>
            </w:pPr>
            <w:r>
              <w:rPr>
                <w:rFonts w:eastAsia="MS Mincho"/>
                <w:b/>
                <w:sz w:val="20"/>
                <w:szCs w:val="20"/>
              </w:rPr>
              <w:t>PVS</w:t>
            </w:r>
            <w:r w:rsidR="00380FB8" w:rsidRPr="00380FB8">
              <w:rPr>
                <w:rFonts w:eastAsia="MS Mincho"/>
                <w:b/>
                <w:sz w:val="20"/>
                <w:szCs w:val="20"/>
              </w:rPr>
              <w:t xml:space="preserve"> 3</w:t>
            </w:r>
          </w:p>
        </w:tc>
        <w:tc>
          <w:tcPr>
            <w:tcW w:w="876" w:type="dxa"/>
            <w:shd w:val="clear" w:color="auto" w:fill="EEECE1"/>
          </w:tcPr>
          <w:p w:rsidR="00380FB8" w:rsidRPr="00380FB8" w:rsidRDefault="00380FB8" w:rsidP="00F20A97">
            <w:pPr>
              <w:spacing w:after="60"/>
              <w:jc w:val="left"/>
              <w:rPr>
                <w:rFonts w:eastAsia="MS Mincho"/>
                <w:b/>
                <w:sz w:val="20"/>
                <w:szCs w:val="20"/>
              </w:rPr>
            </w:pPr>
            <w:r w:rsidRPr="00380FB8">
              <w:rPr>
                <w:rFonts w:eastAsia="MS Mincho"/>
                <w:b/>
                <w:sz w:val="20"/>
                <w:szCs w:val="20"/>
              </w:rPr>
              <w:t>SIMO</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130ns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-0.11dB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0.86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2.41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0.29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1.05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1.95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-0.12dB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2.29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2.41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-0.34dB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1.49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2.79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C00000"/>
                <w:sz w:val="20"/>
                <w:szCs w:val="20"/>
              </w:rPr>
              <w:t>0.7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300ns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1.45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0.82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1.35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0.62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1.65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1.22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1.66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-0.04dB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1.64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1.94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0.27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-0.82dB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1.16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2.03 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2.19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-0.39dB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extDirection w:val="btLr"/>
          </w:tcPr>
          <w:p w:rsidR="00380FB8" w:rsidRPr="00380FB8" w:rsidRDefault="00380FB8" w:rsidP="00F20A97">
            <w:pPr>
              <w:spacing w:after="60"/>
              <w:ind w:right="113"/>
              <w:jc w:val="center"/>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w:t>
            </w:r>
          </w:p>
        </w:tc>
      </w:tr>
      <w:tr w:rsidR="00380FB8" w:rsidRPr="00380FB8" w:rsidTr="006C2369">
        <w:tc>
          <w:tcPr>
            <w:tcW w:w="512" w:type="dxa"/>
            <w:vMerge w:val="restart"/>
            <w:shd w:val="clear" w:color="auto" w:fill="EEECE1"/>
            <w:textDirection w:val="btLr"/>
          </w:tcPr>
          <w:p w:rsidR="00380FB8" w:rsidRPr="00380FB8" w:rsidRDefault="00380FB8" w:rsidP="00F20A97">
            <w:pPr>
              <w:spacing w:after="60"/>
              <w:ind w:right="113"/>
              <w:jc w:val="center"/>
              <w:rPr>
                <w:rFonts w:eastAsia="MS Mincho"/>
                <w:sz w:val="20"/>
                <w:szCs w:val="20"/>
              </w:rPr>
            </w:pPr>
            <w:r w:rsidRPr="00380FB8">
              <w:rPr>
                <w:rFonts w:eastAsia="MS Mincho"/>
                <w:sz w:val="20"/>
                <w:szCs w:val="20"/>
              </w:rPr>
              <w:t>1000ns</w:t>
            </w: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15kmph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C00000"/>
                <w:sz w:val="20"/>
                <w:szCs w:val="20"/>
              </w:rPr>
              <w:t>1.01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-0.09dB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0.79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1.38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0.45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0.74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1.73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-0.55dB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0.93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0.92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1.11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1.35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60kmph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0.04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2.14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1.84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1.56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1.34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-0.27dB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1.69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1.93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 dB</w:t>
            </w:r>
          </w:p>
        </w:tc>
        <w:tc>
          <w:tcPr>
            <w:tcW w:w="877" w:type="dxa"/>
          </w:tcPr>
          <w:p w:rsidR="00380FB8" w:rsidRPr="00380FB8" w:rsidRDefault="00380FB8" w:rsidP="00F20A97">
            <w:pPr>
              <w:spacing w:after="60"/>
              <w:jc w:val="left"/>
              <w:rPr>
                <w:rFonts w:eastAsia="MS Mincho"/>
                <w:sz w:val="20"/>
                <w:szCs w:val="20"/>
              </w:rPr>
            </w:pPr>
            <w:r w:rsidRPr="00380FB8">
              <w:rPr>
                <w:rFonts w:eastAsia="MS Mincho"/>
                <w:color w:val="00B050"/>
                <w:sz w:val="20"/>
                <w:szCs w:val="20"/>
              </w:rPr>
              <w:t>-0.7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1.41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1.77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1.32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1.23 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1.99 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val="restart"/>
            <w:shd w:val="clear" w:color="auto" w:fill="EEECE1"/>
          </w:tcPr>
          <w:p w:rsidR="00380FB8" w:rsidRPr="00380FB8" w:rsidRDefault="00380FB8" w:rsidP="00F20A97">
            <w:pPr>
              <w:spacing w:after="60"/>
              <w:jc w:val="left"/>
              <w:rPr>
                <w:rFonts w:eastAsia="MS Mincho"/>
                <w:sz w:val="20"/>
                <w:szCs w:val="20"/>
              </w:rPr>
            </w:pPr>
            <w:r w:rsidRPr="00380FB8">
              <w:rPr>
                <w:rFonts w:eastAsia="MS Mincho"/>
                <w:sz w:val="20"/>
                <w:szCs w:val="20"/>
              </w:rPr>
              <w:t>120kmph</w:t>
            </w: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5RB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5.6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-0.1 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8RB</w:t>
            </w:r>
          </w:p>
        </w:tc>
        <w:tc>
          <w:tcPr>
            <w:tcW w:w="874"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4.38 dB</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-0.46dB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1"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c>
          <w:tcPr>
            <w:tcW w:w="876" w:type="dxa"/>
          </w:tcPr>
          <w:p w:rsidR="00380FB8" w:rsidRPr="00380FB8" w:rsidRDefault="00380FB8" w:rsidP="00F20A97">
            <w:pPr>
              <w:spacing w:after="60"/>
              <w:jc w:val="left"/>
              <w:rPr>
                <w:rFonts w:eastAsia="MS Mincho"/>
                <w:color w:val="C00000"/>
                <w:sz w:val="20"/>
                <w:szCs w:val="20"/>
              </w:rPr>
            </w:pPr>
            <w:r w:rsidRPr="00380FB8">
              <w:rPr>
                <w:rFonts w:eastAsia="MS Mincho"/>
                <w:color w:val="C00000"/>
                <w:sz w:val="20"/>
                <w:szCs w:val="20"/>
              </w:rPr>
              <w:t>&gt;6dB</w:t>
            </w:r>
          </w:p>
        </w:tc>
      </w:tr>
      <w:tr w:rsidR="00380FB8" w:rsidRPr="00380FB8" w:rsidTr="006C2369">
        <w:tc>
          <w:tcPr>
            <w:tcW w:w="512" w:type="dxa"/>
            <w:vMerge/>
            <w:shd w:val="clear" w:color="auto" w:fill="EEECE1"/>
          </w:tcPr>
          <w:p w:rsidR="00380FB8" w:rsidRPr="00380FB8" w:rsidRDefault="00380FB8" w:rsidP="00F20A97">
            <w:pPr>
              <w:spacing w:after="60"/>
              <w:jc w:val="left"/>
              <w:rPr>
                <w:rFonts w:eastAsia="MS Mincho"/>
                <w:sz w:val="20"/>
                <w:szCs w:val="20"/>
              </w:rPr>
            </w:pPr>
          </w:p>
        </w:tc>
        <w:tc>
          <w:tcPr>
            <w:tcW w:w="972" w:type="dxa"/>
            <w:vMerge/>
            <w:shd w:val="clear" w:color="auto" w:fill="EEECE1"/>
          </w:tcPr>
          <w:p w:rsidR="00380FB8" w:rsidRPr="00380FB8" w:rsidRDefault="00380FB8" w:rsidP="00F20A97">
            <w:pPr>
              <w:spacing w:after="60"/>
              <w:jc w:val="left"/>
              <w:rPr>
                <w:rFonts w:eastAsia="MS Mincho"/>
                <w:sz w:val="20"/>
                <w:szCs w:val="20"/>
              </w:rPr>
            </w:pPr>
          </w:p>
        </w:tc>
        <w:tc>
          <w:tcPr>
            <w:tcW w:w="697" w:type="dxa"/>
          </w:tcPr>
          <w:p w:rsidR="00380FB8" w:rsidRPr="00380FB8" w:rsidRDefault="00380FB8" w:rsidP="00F20A97">
            <w:pPr>
              <w:spacing w:after="60"/>
              <w:jc w:val="left"/>
              <w:rPr>
                <w:rFonts w:eastAsia="MS Mincho"/>
                <w:sz w:val="20"/>
                <w:szCs w:val="20"/>
              </w:rPr>
            </w:pPr>
            <w:r w:rsidRPr="00380FB8">
              <w:rPr>
                <w:rFonts w:eastAsia="MS Mincho"/>
                <w:sz w:val="20"/>
                <w:szCs w:val="20"/>
              </w:rPr>
              <w:t>22RB</w:t>
            </w:r>
          </w:p>
        </w:tc>
        <w:tc>
          <w:tcPr>
            <w:tcW w:w="874"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 xml:space="preserve">- </w:t>
            </w:r>
          </w:p>
        </w:tc>
        <w:tc>
          <w:tcPr>
            <w:tcW w:w="877"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1"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c>
          <w:tcPr>
            <w:tcW w:w="876" w:type="dxa"/>
          </w:tcPr>
          <w:p w:rsidR="00380FB8" w:rsidRPr="00380FB8" w:rsidRDefault="00380FB8" w:rsidP="00F20A97">
            <w:pPr>
              <w:spacing w:after="60"/>
              <w:jc w:val="left"/>
              <w:rPr>
                <w:rFonts w:eastAsia="MS Mincho"/>
                <w:color w:val="FFC000"/>
                <w:sz w:val="20"/>
                <w:szCs w:val="20"/>
                <w14:textFill>
                  <w14:solidFill>
                    <w14:srgbClr w14:val="FFC000">
                      <w14:lumMod w14:val="75000"/>
                    </w14:srgbClr>
                  </w14:solidFill>
                </w14:textFill>
              </w:rPr>
            </w:pPr>
            <w:r w:rsidRPr="00380FB8">
              <w:rPr>
                <w:rFonts w:eastAsia="MS Mincho"/>
                <w:color w:val="FFC000"/>
                <w:sz w:val="20"/>
                <w:szCs w:val="20"/>
                <w14:textFill>
                  <w14:solidFill>
                    <w14:srgbClr w14:val="FFC000">
                      <w14:lumMod w14:val="75000"/>
                    </w14:srgbClr>
                  </w14:solidFill>
                </w14:textFill>
              </w:rPr>
              <w:t>-</w:t>
            </w:r>
          </w:p>
        </w:tc>
      </w:tr>
    </w:tbl>
    <w:p w:rsidR="00380FB8" w:rsidRPr="006C2369" w:rsidRDefault="006C2369" w:rsidP="00380FB8">
      <w:pPr>
        <w:spacing w:after="160" w:line="259" w:lineRule="auto"/>
        <w:jc w:val="left"/>
        <w:rPr>
          <w:rFonts w:ascii="Calibri" w:eastAsia="Calibri" w:hAnsi="Calibri"/>
          <w:sz w:val="22"/>
          <w:szCs w:val="22"/>
          <w:lang w:eastAsia="en-US"/>
        </w:rPr>
      </w:pPr>
      <w:r>
        <w:rPr>
          <w:rFonts w:ascii="Calibri" w:eastAsia="Calibri" w:hAnsi="Calibri"/>
          <w:sz w:val="22"/>
          <w:szCs w:val="22"/>
          <w:lang w:eastAsia="en-US"/>
        </w:rPr>
        <w:t>*</w:t>
      </w:r>
      <w:r w:rsidRPr="006C2369">
        <w:rPr>
          <w:rFonts w:ascii="Calibri" w:eastAsia="Calibri" w:hAnsi="Calibri"/>
          <w:sz w:val="22"/>
          <w:szCs w:val="22"/>
          <w:lang w:eastAsia="en-US"/>
        </w:rPr>
        <w:t>SFBC has a PAPR loss not taken into account in the table here-above</w:t>
      </w:r>
    </w:p>
    <w:p w:rsidR="00380FB8" w:rsidRPr="006C2369" w:rsidRDefault="00380FB8" w:rsidP="00380FB8">
      <w:pPr>
        <w:spacing w:after="160" w:line="259" w:lineRule="auto"/>
        <w:jc w:val="left"/>
        <w:rPr>
          <w:rFonts w:ascii="Calibri" w:eastAsia="Calibri" w:hAnsi="Calibri"/>
          <w:sz w:val="22"/>
          <w:szCs w:val="22"/>
          <w:lang w:eastAsia="en-US"/>
        </w:rPr>
      </w:pPr>
    </w:p>
    <w:p w:rsidR="00273C94" w:rsidRDefault="00273C94" w:rsidP="00273C94">
      <w:pPr>
        <w:shd w:val="clear" w:color="auto" w:fill="FFFFFF" w:themeFill="background1"/>
      </w:pPr>
      <w:r w:rsidRPr="0073662B">
        <w:t>CDD is easy to implement and can be transparent to the receiver</w:t>
      </w:r>
      <w:r>
        <w:t xml:space="preserve"> in the case of short delay CDD</w:t>
      </w:r>
      <w:r w:rsidRPr="0073662B">
        <w:t xml:space="preserve"> </w:t>
      </w:r>
      <w:r>
        <w:t xml:space="preserve">(SD-CDD). </w:t>
      </w:r>
      <w:r w:rsidRPr="0073662B">
        <w:t>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r>
        <w:t xml:space="preserve"> </w:t>
      </w:r>
    </w:p>
    <w:p w:rsidR="00273C94" w:rsidRDefault="00273C94" w:rsidP="00273C94">
      <w:pPr>
        <w:shd w:val="clear" w:color="auto" w:fill="FFFFFF" w:themeFill="background1"/>
      </w:pPr>
      <w:r>
        <w:t xml:space="preserve">SC-SFBC has similar performance with classical SFBC, the penalty due to precoding onto non-adjacent subcarriers being </w:t>
      </w:r>
      <w:r>
        <w:t>small even on very dispersive channels and with large band allocations</w:t>
      </w:r>
      <w:r>
        <w:t>. Considering the fact that SC-SFBC is PAPR preserving, while SFBC brings up to 1dB of PAPR loss, SC-SFBC is preferred.</w:t>
      </w:r>
    </w:p>
    <w:p w:rsidR="00273C94" w:rsidRDefault="00273C94" w:rsidP="00273C94">
      <w:pPr>
        <w:shd w:val="clear" w:color="auto" w:fill="FFFFFF" w:themeFill="background1"/>
      </w:pPr>
      <w:r>
        <w:t>Pre-DFT STBC has better performance than the non-Alamouti schemes. Pre-DFT STBC performance</w:t>
      </w:r>
      <w:r w:rsidRPr="00273C94">
        <w:t xml:space="preserve"> </w:t>
      </w:r>
      <w:r>
        <w:t xml:space="preserve">is </w:t>
      </w:r>
      <w:r>
        <w:t>close</w:t>
      </w:r>
      <w:r>
        <w:t xml:space="preserve"> to SC-SFBC and may even have a slight advantage when QPSK is used, but displays performance loss (significant, even up to several dBs in some cases) when 16QAM is used. This scheme is rather </w:t>
      </w:r>
      <w:r>
        <w:lastRenderedPageBreak/>
        <w:t>sensitive to long channels and medium/high modulation orders because of the interference between the two symbol halves involved in Alamouti precoding. Given that pre-DFT STBC is more complex at both receiver and transmitter side without providing any significant gain over SC-SFBC, SC-SFBC is preferred.</w:t>
      </w:r>
    </w:p>
    <w:p w:rsidR="00380FB8" w:rsidRPr="005F7A8B" w:rsidRDefault="00380FB8" w:rsidP="00B21981">
      <w:pPr>
        <w:shd w:val="clear" w:color="auto" w:fill="FFFFFF" w:themeFill="background1"/>
      </w:pPr>
    </w:p>
    <w:p w:rsidR="00273C94" w:rsidRDefault="00B21981" w:rsidP="00B21981">
      <w:pPr>
        <w:shd w:val="clear" w:color="auto" w:fill="FFFFFF" w:themeFill="background1"/>
        <w:rPr>
          <w:i/>
        </w:rPr>
      </w:pPr>
      <w:r w:rsidRPr="00C076BF">
        <w:rPr>
          <w:b/>
        </w:rPr>
        <w:t>Observation:</w:t>
      </w:r>
      <w:r>
        <w:rPr>
          <w:i/>
        </w:rPr>
        <w:t xml:space="preserve"> </w:t>
      </w:r>
      <w:r w:rsidRPr="0073662B">
        <w:rPr>
          <w:i/>
        </w:rPr>
        <w:t>Full diversity Alamouti schemes are more robust than CDD</w:t>
      </w:r>
      <w:r w:rsidR="00273C94">
        <w:rPr>
          <w:i/>
        </w:rPr>
        <w:t xml:space="preserve"> and PVS</w:t>
      </w:r>
      <w:r w:rsidR="00394430" w:rsidRPr="00394430">
        <w:rPr>
          <w:i/>
        </w:rPr>
        <w:t xml:space="preserve"> </w:t>
      </w:r>
      <w:r w:rsidR="00394430">
        <w:rPr>
          <w:i/>
        </w:rPr>
        <w:t>and provide significantly better performance</w:t>
      </w:r>
      <w:r w:rsidR="00394430" w:rsidRPr="00E863EF">
        <w:rPr>
          <w:i/>
        </w:rPr>
        <w:t>.</w:t>
      </w:r>
      <w:r w:rsidRPr="00E863EF">
        <w:rPr>
          <w:i/>
        </w:rPr>
        <w:t xml:space="preserve">. </w:t>
      </w:r>
    </w:p>
    <w:p w:rsidR="00B21981" w:rsidRDefault="00273C94" w:rsidP="00B21981">
      <w:pPr>
        <w:shd w:val="clear" w:color="auto" w:fill="FFFFFF" w:themeFill="background1"/>
      </w:pPr>
      <w:r w:rsidRPr="00C076BF">
        <w:rPr>
          <w:b/>
        </w:rPr>
        <w:t>Observation:</w:t>
      </w:r>
      <w:r>
        <w:rPr>
          <w:b/>
        </w:rPr>
        <w:t xml:space="preserve"> </w:t>
      </w:r>
      <w:r w:rsidR="00B21981" w:rsidRPr="0014307B">
        <w:rPr>
          <w:i/>
        </w:rPr>
        <w:t>The</w:t>
      </w:r>
      <w:r w:rsidR="00B21981" w:rsidRPr="0073662B">
        <w:rPr>
          <w:i/>
        </w:rPr>
        <w:t xml:space="preserve"> PAPR preserving SC-SFBC </w:t>
      </w:r>
      <w:r w:rsidR="00B21981">
        <w:rPr>
          <w:i/>
        </w:rPr>
        <w:t>has clos</w:t>
      </w:r>
      <w:r w:rsidR="00B21981" w:rsidRPr="0073662B">
        <w:rPr>
          <w:i/>
        </w:rPr>
        <w:t xml:space="preserve">e FER performance </w:t>
      </w:r>
      <w:r w:rsidR="00B21981">
        <w:rPr>
          <w:i/>
        </w:rPr>
        <w:t>with</w:t>
      </w:r>
      <w:r w:rsidR="00B21981" w:rsidRPr="0073662B">
        <w:rPr>
          <w:i/>
        </w:rPr>
        <w:t xml:space="preserve"> SFBC without any PAPR loss and is thus preferred to SFBC</w:t>
      </w:r>
      <w:r w:rsidR="00B21981" w:rsidRPr="0073662B">
        <w:t>.</w:t>
      </w:r>
    </w:p>
    <w:p w:rsidR="00B21981" w:rsidRPr="0073662B" w:rsidRDefault="00273C94" w:rsidP="00B21981">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is less complex than pre-DFT STBC and has similar (QPSK) or better (16QAM) performance</w:t>
      </w:r>
      <w:r w:rsidRPr="0073662B">
        <w:t>.</w:t>
      </w:r>
    </w:p>
    <w:p w:rsidR="0007135A" w:rsidRDefault="0007135A" w:rsidP="005624D8">
      <w:pPr>
        <w:shd w:val="clear" w:color="auto" w:fill="FFFFFF" w:themeFill="background1"/>
      </w:pP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273C94" w:rsidRDefault="00273C94" w:rsidP="00273C94">
      <w:pPr>
        <w:shd w:val="clear" w:color="auto" w:fill="FFFFFF" w:themeFill="background1"/>
        <w:rPr>
          <w:i/>
        </w:rPr>
      </w:pPr>
      <w:r w:rsidRPr="00C076BF">
        <w:rPr>
          <w:b/>
        </w:rPr>
        <w:t>Observation:</w:t>
      </w:r>
      <w:r>
        <w:rPr>
          <w:i/>
        </w:rPr>
        <w:t xml:space="preserve"> </w:t>
      </w:r>
      <w:r w:rsidRPr="0073662B">
        <w:rPr>
          <w:i/>
        </w:rPr>
        <w:t>Full diversity Alamouti schemes are more robust than CDD</w:t>
      </w:r>
      <w:r>
        <w:rPr>
          <w:i/>
        </w:rPr>
        <w:t xml:space="preserve"> and PVS</w:t>
      </w:r>
      <w:r w:rsidR="00394430">
        <w:rPr>
          <w:i/>
        </w:rPr>
        <w:t xml:space="preserve"> and provide significantly better performance</w:t>
      </w:r>
      <w:r w:rsidRPr="00E863EF">
        <w:rPr>
          <w:i/>
        </w:rPr>
        <w:t xml:space="preserve">. </w:t>
      </w:r>
    </w:p>
    <w:p w:rsidR="00273C94" w:rsidRDefault="00273C94" w:rsidP="00273C94">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has clos</w:t>
      </w:r>
      <w:r w:rsidRPr="0073662B">
        <w:rPr>
          <w:i/>
        </w:rPr>
        <w:t xml:space="preserve">e FER performance </w:t>
      </w:r>
      <w:r>
        <w:rPr>
          <w:i/>
        </w:rPr>
        <w:t>with</w:t>
      </w:r>
      <w:r w:rsidRPr="0073662B">
        <w:rPr>
          <w:i/>
        </w:rPr>
        <w:t xml:space="preserve"> SFBC without any PAPR loss and is thus preferred to SFBC</w:t>
      </w:r>
      <w:r w:rsidRPr="0073662B">
        <w:t>.</w:t>
      </w:r>
    </w:p>
    <w:p w:rsidR="00273C94" w:rsidRPr="0073662B" w:rsidRDefault="00273C94" w:rsidP="00273C94">
      <w:pPr>
        <w:shd w:val="clear" w:color="auto" w:fill="FFFFFF" w:themeFill="background1"/>
      </w:pPr>
      <w:r w:rsidRPr="00C076BF">
        <w:rPr>
          <w:b/>
        </w:rPr>
        <w:t>Observation:</w:t>
      </w:r>
      <w:r>
        <w:rPr>
          <w:b/>
        </w:rPr>
        <w:t xml:space="preserve"> </w:t>
      </w:r>
      <w:r w:rsidRPr="0014307B">
        <w:rPr>
          <w:i/>
        </w:rPr>
        <w:t>The</w:t>
      </w:r>
      <w:r w:rsidRPr="0073662B">
        <w:rPr>
          <w:i/>
        </w:rPr>
        <w:t xml:space="preserve"> PAPR preserving SC-SFBC </w:t>
      </w:r>
      <w:r>
        <w:rPr>
          <w:i/>
        </w:rPr>
        <w:t>is less complex than pre-DFT STBC and has similar (QPSK) or better (16QAM) performance</w:t>
      </w:r>
      <w:r w:rsidRPr="0073662B">
        <w:t>.</w:t>
      </w:r>
    </w:p>
    <w:p w:rsidR="00401D41" w:rsidRPr="0073662B" w:rsidRDefault="00401D41" w:rsidP="00401D41">
      <w:pPr>
        <w:rPr>
          <w:i/>
        </w:rPr>
      </w:pPr>
      <w:r w:rsidRPr="0073662B">
        <w:rPr>
          <w:b/>
        </w:rPr>
        <w:t>Proposal</w:t>
      </w:r>
      <w:r w:rsidRPr="0073662B">
        <w:t xml:space="preserve">: </w:t>
      </w:r>
      <w:r w:rsidRPr="00EA59E6">
        <w:rPr>
          <w:i/>
        </w:rPr>
        <w:t>SC-SFBC</w:t>
      </w:r>
      <w:r>
        <w:t xml:space="preserve"> </w:t>
      </w:r>
      <w:r w:rsidRPr="00E74B84">
        <w:rPr>
          <w:i/>
          <w:szCs w:val="20"/>
        </w:rPr>
        <w:t>Alamouti-based transmit diversity is supported for P</w:t>
      </w:r>
      <w:r w:rsidR="00160772">
        <w:rPr>
          <w:i/>
          <w:szCs w:val="20"/>
        </w:rPr>
        <w:t>S</w:t>
      </w:r>
      <w:r w:rsidRPr="00E74B84">
        <w:rPr>
          <w:i/>
          <w:szCs w:val="20"/>
        </w:rPr>
        <w:t>SCH with DFTsOFDM</w:t>
      </w:r>
    </w:p>
    <w:p w:rsidR="0005616B" w:rsidRPr="0073662B" w:rsidRDefault="0005616B" w:rsidP="0005616B">
      <w:pPr>
        <w:pBdr>
          <w:bottom w:val="single" w:sz="12" w:space="1" w:color="auto"/>
        </w:pBdr>
      </w:pPr>
    </w:p>
    <w:p w:rsidR="0005616B" w:rsidRPr="002147D0" w:rsidRDefault="0005616B" w:rsidP="0005616B">
      <w:pPr>
        <w:pStyle w:val="Titre1"/>
      </w:pPr>
      <w:r w:rsidRPr="002147D0">
        <w:t>References</w:t>
      </w:r>
    </w:p>
    <w:p w:rsidR="0005616B" w:rsidRPr="0073662B" w:rsidRDefault="0005616B" w:rsidP="0005616B">
      <w:pPr>
        <w:pStyle w:val="Titre3"/>
        <w:numPr>
          <w:ilvl w:val="0"/>
          <w:numId w:val="10"/>
        </w:numPr>
      </w:pPr>
      <w:bookmarkStart w:id="6" w:name="_Ref477366453"/>
      <w:bookmarkStart w:id="7" w:name="_Ref468982085"/>
      <w:bookmarkStart w:id="8" w:name="_Ref461457447"/>
      <w:bookmarkStart w:id="9" w:name="_Ref457744160"/>
      <w:bookmarkStart w:id="10" w:name="_Ref468983461"/>
      <w:r w:rsidRPr="0073662B">
        <w:t xml:space="preserve">Chairman’s notes, RAN1 </w:t>
      </w:r>
      <w:r>
        <w:t>#90</w:t>
      </w:r>
      <w:r w:rsidRPr="0073662B">
        <w:t xml:space="preserve">, </w:t>
      </w:r>
      <w:r>
        <w:t>Prague, Czech Republic, August</w:t>
      </w:r>
      <w:r w:rsidRPr="0073662B">
        <w:t xml:space="preserve"> 2017.</w:t>
      </w:r>
      <w:bookmarkEnd w:id="6"/>
    </w:p>
    <w:p w:rsidR="0005616B" w:rsidRDefault="0005616B" w:rsidP="0005616B">
      <w:pPr>
        <w:pStyle w:val="Titre3"/>
        <w:numPr>
          <w:ilvl w:val="0"/>
          <w:numId w:val="10"/>
        </w:numPr>
      </w:pPr>
      <w:bookmarkStart w:id="11" w:name="_Ref484187793"/>
      <w:bookmarkStart w:id="12" w:name="_Ref477366465"/>
      <w:bookmarkStart w:id="13" w:name="_Ref481586870"/>
      <w:r>
        <w:t>Chairman’s notes, RAN1 #88b</w:t>
      </w:r>
      <w:r w:rsidRPr="0073662B">
        <w:t xml:space="preserve">, </w:t>
      </w:r>
      <w:r>
        <w:t>Spokane, April</w:t>
      </w:r>
      <w:r w:rsidRPr="0073662B">
        <w:t xml:space="preserve"> 2017</w:t>
      </w:r>
      <w:bookmarkEnd w:id="11"/>
    </w:p>
    <w:p w:rsidR="0005616B" w:rsidRDefault="0005616B" w:rsidP="0005616B">
      <w:pPr>
        <w:pStyle w:val="Titre3"/>
        <w:numPr>
          <w:ilvl w:val="0"/>
          <w:numId w:val="10"/>
        </w:numPr>
      </w:pPr>
      <w:bookmarkStart w:id="14" w:name="_Ref492582194"/>
      <w:bookmarkStart w:id="15" w:name="_Ref468984773"/>
      <w:bookmarkEnd w:id="7"/>
      <w:bookmarkEnd w:id="8"/>
      <w:bookmarkEnd w:id="9"/>
      <w:bookmarkEnd w:id="10"/>
      <w:bookmarkEnd w:id="12"/>
      <w:bookmarkEnd w:id="13"/>
      <w:r w:rsidRPr="0073662B">
        <w:t>C. Ciochina, D. Castelain, D. Mottier and H. Sari, “A Space-Frequency Block Code for Single-Carrier FDMA,” Electronics Letters 44(11):690 - 691 February 2008</w:t>
      </w:r>
    </w:p>
    <w:p w:rsidR="0005616B" w:rsidRDefault="0005616B" w:rsidP="0005616B">
      <w:pPr>
        <w:pStyle w:val="Titre3"/>
        <w:numPr>
          <w:ilvl w:val="0"/>
          <w:numId w:val="10"/>
        </w:numPr>
      </w:pPr>
      <w:bookmarkStart w:id="16" w:name="_Ref494406673"/>
      <w:r w:rsidRPr="00D47F8C">
        <w:t>R1-17</w:t>
      </w:r>
      <w:r w:rsidR="004129A4">
        <w:t>20147</w:t>
      </w:r>
      <w:r>
        <w:t xml:space="preserve">, </w:t>
      </w:r>
      <w:r w:rsidRPr="00D47F8C">
        <w:t>Low PAPR SFBC for V2X transmit diversity</w:t>
      </w:r>
      <w:r>
        <w:t>, Mitsubishi Electric, RAN1#9</w:t>
      </w:r>
      <w:r w:rsidR="004129A4">
        <w:t>1</w:t>
      </w:r>
      <w:r>
        <w:t xml:space="preserve">, </w:t>
      </w:r>
      <w:r w:rsidR="004129A4">
        <w:t>Reno</w:t>
      </w:r>
      <w:r>
        <w:t xml:space="preserve">, </w:t>
      </w:r>
      <w:r w:rsidR="004129A4">
        <w:t>November</w:t>
      </w:r>
      <w:r>
        <w:t xml:space="preserve"> 2017.</w:t>
      </w:r>
      <w:bookmarkEnd w:id="16"/>
    </w:p>
    <w:p w:rsidR="0005616B" w:rsidRDefault="0005616B" w:rsidP="0005616B">
      <w:pPr>
        <w:pStyle w:val="Titre3"/>
        <w:numPr>
          <w:ilvl w:val="0"/>
          <w:numId w:val="10"/>
        </w:numPr>
      </w:pPr>
      <w:bookmarkStart w:id="17"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17"/>
    </w:p>
    <w:p w:rsidR="003D19BD" w:rsidRDefault="0005616B" w:rsidP="0005616B">
      <w:pPr>
        <w:pStyle w:val="Titre3"/>
        <w:numPr>
          <w:ilvl w:val="0"/>
          <w:numId w:val="10"/>
        </w:numPr>
      </w:pPr>
      <w:bookmarkStart w:id="18" w:name="_Ref494384545"/>
      <w:r>
        <w:t xml:space="preserve">R1-1716237, </w:t>
      </w:r>
      <w:r w:rsidRPr="00BF387B">
        <w:t>Transmit diversity for DFTsOF</w:t>
      </w:r>
      <w:r>
        <w:t xml:space="preserve">DM-based PUCCH in long duration, </w:t>
      </w:r>
      <w:r w:rsidRPr="00BF387B">
        <w:t>Mitsubishi Electric RCE</w:t>
      </w:r>
      <w:r>
        <w:t>, RAN1 NR AH#03, Nagoya, September 2017</w:t>
      </w:r>
      <w:r w:rsidR="003D19BD">
        <w:t>.</w:t>
      </w:r>
    </w:p>
    <w:p w:rsidR="0005616B" w:rsidRDefault="003D19BD" w:rsidP="003D19BD">
      <w:pPr>
        <w:pStyle w:val="Titre3"/>
        <w:numPr>
          <w:ilvl w:val="0"/>
          <w:numId w:val="10"/>
        </w:numPr>
      </w:pPr>
      <w:bookmarkStart w:id="19" w:name="_Ref498720732"/>
      <w:r w:rsidRPr="003D19BD">
        <w:t>R1-1713389, On UL divers</w:t>
      </w:r>
      <w:r w:rsidR="00BA31A1">
        <w:t>ity transmission scheme,</w:t>
      </w:r>
      <w:r>
        <w:t xml:space="preserve"> RAN1#90, Prague, August 2017</w:t>
      </w:r>
      <w:r w:rsidR="0005616B">
        <w:t>.</w:t>
      </w:r>
      <w:bookmarkEnd w:id="14"/>
      <w:bookmarkEnd w:id="15"/>
      <w:bookmarkEnd w:id="18"/>
      <w:bookmarkEnd w:id="19"/>
    </w:p>
    <w:p w:rsidR="0005616B" w:rsidRPr="0073662B" w:rsidRDefault="0005616B" w:rsidP="00401D41"/>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r w:rsidR="001557DF">
        <w:t xml:space="preserve"> </w:t>
      </w:r>
    </w:p>
    <w:p w:rsidR="00160C37" w:rsidRPr="0073662B" w:rsidRDefault="00160C37" w:rsidP="00160C37"/>
    <w:tbl>
      <w:tblPr>
        <w:tblW w:w="10055" w:type="dxa"/>
        <w:tblCellMar>
          <w:left w:w="0" w:type="dxa"/>
          <w:right w:w="0" w:type="dxa"/>
        </w:tblCellMar>
        <w:tblLook w:val="04A0" w:firstRow="1" w:lastRow="0" w:firstColumn="1" w:lastColumn="0" w:noHBand="0" w:noVBand="1"/>
      </w:tblPr>
      <w:tblGrid>
        <w:gridCol w:w="2400"/>
        <w:gridCol w:w="2551"/>
        <w:gridCol w:w="2552"/>
        <w:gridCol w:w="2552"/>
      </w:tblGrid>
      <w:tr w:rsidR="00E278CF" w:rsidRPr="0073662B" w:rsidTr="00E278CF">
        <w:trPr>
          <w:trHeight w:val="345"/>
        </w:trPr>
        <w:tc>
          <w:tcPr>
            <w:tcW w:w="240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73662B" w:rsidRDefault="00E278C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73662B" w:rsidRDefault="00E278C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r>
      <w:tr w:rsidR="00E278CF" w:rsidRPr="0073662B" w:rsidTr="00E278CF">
        <w:trPr>
          <w:trHeight w:val="420"/>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6</w:t>
            </w:r>
            <w:r w:rsidRPr="0073662B">
              <w:rPr>
                <w:rFonts w:ascii="Times New Roman" w:hAnsi="Times New Roman" w:cs="Times New Roman"/>
                <w:sz w:val="22"/>
                <w:szCs w:val="22"/>
              </w:rPr>
              <w:t xml:space="preserve"> GHz</w:t>
            </w:r>
          </w:p>
        </w:tc>
      </w:tr>
      <w:tr w:rsidR="00E278CF" w:rsidRPr="0073662B" w:rsidTr="00E278CF">
        <w:trPr>
          <w:trHeight w:val="352"/>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E278CF" w:rsidRPr="0073662B" w:rsidRDefault="00E278CF" w:rsidP="00603E6F">
            <w:pPr>
              <w:spacing w:before="60" w:after="60"/>
              <w:ind w:firstLine="110"/>
              <w:rPr>
                <w:rFonts w:eastAsia="Times New Roman"/>
                <w:sz w:val="22"/>
                <w:szCs w:val="22"/>
                <w:lang w:val="fr-FR" w:eastAsia="fr-FR"/>
              </w:rPr>
            </w:pPr>
            <w:r>
              <w:rPr>
                <w:rFonts w:eastAsia="SimSun"/>
                <w:b/>
                <w:bCs/>
                <w:color w:val="000000"/>
                <w:kern w:val="2"/>
                <w:sz w:val="22"/>
                <w:szCs w:val="22"/>
                <w:lang w:eastAsia="fr-FR"/>
              </w:rPr>
              <w:t>Number of antennas</w:t>
            </w:r>
            <w:r w:rsidRPr="0073662B">
              <w:rPr>
                <w:rFonts w:eastAsia="SimSun"/>
                <w:b/>
                <w:bCs/>
                <w:color w:val="000000"/>
                <w:kern w:val="2"/>
                <w:sz w:val="22"/>
                <w:szCs w:val="22"/>
                <w:lang w:eastAsia="fr-FR"/>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E278CF">
            <w:pPr>
              <w:spacing w:before="60" w:after="60"/>
              <w:jc w:val="center"/>
              <w:rPr>
                <w:rFonts w:eastAsia="Times New Roman"/>
                <w:sz w:val="22"/>
                <w:szCs w:val="22"/>
                <w:lang w:eastAsia="fr-FR"/>
              </w:rPr>
            </w:pPr>
            <w:r>
              <w:rPr>
                <w:rFonts w:eastAsia="Times New Roman"/>
                <w:sz w:val="22"/>
                <w:szCs w:val="22"/>
                <w:lang w:eastAsia="fr-FR"/>
              </w:rPr>
              <w:t>2x2</w:t>
            </w:r>
          </w:p>
        </w:tc>
      </w:tr>
      <w:tr w:rsidR="00E278CF" w:rsidRPr="0073662B" w:rsidTr="00E278CF">
        <w:trPr>
          <w:trHeight w:val="39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b/>
                <w:bCs/>
                <w:color w:val="000000"/>
                <w:kern w:val="2"/>
                <w:sz w:val="22"/>
                <w:szCs w:val="22"/>
              </w:rPr>
              <w:t>Numerology</w:t>
            </w:r>
            <w:r w:rsidRPr="0073662B">
              <w:rPr>
                <w:rFonts w:ascii="Times New Roman" w:hAnsi="Times New Roman" w:cs="Times New Roman"/>
                <w:b/>
                <w:bCs/>
                <w:color w:val="000000"/>
                <w:kern w:val="2"/>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3C7581"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3C7581">
              <w:rPr>
                <w:rFonts w:ascii="Times New Roman" w:hAnsi="Times New Roman" w:cs="Times New Roman"/>
                <w:sz w:val="22"/>
                <w:szCs w:val="22"/>
              </w:rPr>
              <w:t>BW=10MHz, N</w:t>
            </w:r>
            <w:r w:rsidR="007C139C">
              <w:rPr>
                <w:rFonts w:ascii="Times New Roman" w:hAnsi="Times New Roman" w:cs="Times New Roman"/>
                <w:sz w:val="22"/>
                <w:szCs w:val="22"/>
              </w:rPr>
              <w:t>_</w:t>
            </w:r>
            <w:r w:rsidRPr="003C7581">
              <w:rPr>
                <w:rFonts w:ascii="Times New Roman" w:hAnsi="Times New Roman" w:cs="Times New Roman"/>
                <w:sz w:val="22"/>
                <w:szCs w:val="22"/>
              </w:rPr>
              <w:t xml:space="preserve">FFT=1024, </w:t>
            </w:r>
            <w:r w:rsidR="007C139C">
              <w:rPr>
                <w:rFonts w:ascii="Calibri" w:hAnsi="Calibri" w:cs="Times New Roman"/>
                <w:sz w:val="22"/>
                <w:szCs w:val="22"/>
              </w:rPr>
              <w:t>Δ</w:t>
            </w:r>
            <w:r w:rsidRPr="003C7581">
              <w:rPr>
                <w:rFonts w:ascii="Times New Roman" w:hAnsi="Times New Roman" w:cs="Times New Roman"/>
                <w:sz w:val="22"/>
                <w:szCs w:val="22"/>
              </w:rPr>
              <w:t>f=15kHz, Fs=15.36MHz</w:t>
            </w:r>
          </w:p>
        </w:tc>
      </w:tr>
      <w:tr w:rsidR="00E278CF" w:rsidRPr="0073662B" w:rsidTr="00E278CF">
        <w:trPr>
          <w:trHeight w:val="559"/>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18RB for QPSK, 12RB for 16QAM</w:t>
            </w:r>
            <w:r w:rsidR="007C139C">
              <w:rPr>
                <w:rFonts w:ascii="Times New Roman" w:hAnsi="Times New Roman" w:cs="Times New Roman"/>
                <w:color w:val="000000"/>
                <w:kern w:val="24"/>
                <w:sz w:val="22"/>
                <w:szCs w:val="22"/>
              </w:rPr>
              <w:t xml:space="preserve"> (payload 300bytes)</w:t>
            </w:r>
          </w:p>
        </w:tc>
      </w:tr>
      <w:tr w:rsidR="00F20A97" w:rsidRPr="0073662B" w:rsidTr="003D19BD">
        <w:trPr>
          <w:trHeight w:val="58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73662B" w:rsidRDefault="00F20A97"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b/>
                <w:bCs/>
                <w:color w:val="000000"/>
                <w:kern w:val="2"/>
                <w:sz w:val="22"/>
                <w:szCs w:val="22"/>
              </w:rPr>
              <w:t>Payload</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20A97" w:rsidRPr="0073662B" w:rsidRDefault="00F20A97"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190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73662B" w:rsidRDefault="00F20A97"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300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73662B" w:rsidRDefault="00F20A97"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800 bytes</w:t>
            </w:r>
          </w:p>
        </w:tc>
      </w:tr>
      <w:tr w:rsidR="00F20A97" w:rsidRPr="0073662B" w:rsidTr="003D19BD">
        <w:trPr>
          <w:trHeight w:val="47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73662B" w:rsidRDefault="00F20A97" w:rsidP="00E278C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r>
              <w:rPr>
                <w:rFonts w:ascii="Times New Roman" w:hAnsi="Times New Roman" w:cs="Times New Roman"/>
                <w:b/>
                <w:bCs/>
                <w:color w:val="000000"/>
                <w:kern w:val="2"/>
                <w:sz w:val="22"/>
                <w:szCs w:val="22"/>
              </w:rPr>
              <w:t>/allocation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tcPr>
          <w:p w:rsidR="00F20A97" w:rsidRDefault="00F20A97"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½ - 10RB</w:t>
            </w:r>
          </w:p>
          <w:p w:rsidR="00F20A97" w:rsidRPr="0073662B" w:rsidRDefault="00F20A97"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½ - 5RB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½ - 16RB</w:t>
            </w:r>
          </w:p>
          <w:p w:rsidR="00F20A97" w:rsidRPr="0073662B" w:rsidRDefault="00F20A97"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½ - 8RB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½ - 44RB</w:t>
            </w:r>
          </w:p>
          <w:p w:rsidR="00F20A97" w:rsidRPr="0073662B" w:rsidRDefault="00F20A97"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½ - 22RB</w:t>
            </w:r>
          </w:p>
        </w:tc>
      </w:tr>
      <w:tr w:rsidR="00E278CF" w:rsidRPr="0073662B" w:rsidTr="00E278CF">
        <w:trPr>
          <w:trHeight w:val="33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color w:val="000000"/>
                <w:kern w:val="2"/>
                <w:sz w:val="22"/>
                <w:szCs w:val="22"/>
                <w:lang w:val="pt-BR"/>
              </w:rPr>
              <w:t>LTE Turbo code</w:t>
            </w:r>
          </w:p>
        </w:tc>
      </w:tr>
      <w:tr w:rsidR="00E278CF" w:rsidRPr="0073662B" w:rsidTr="00E278CF">
        <w:trPr>
          <w:trHeight w:val="44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color w:val="000000"/>
                <w:kern w:val="2"/>
                <w:sz w:val="22"/>
                <w:szCs w:val="22"/>
              </w:rPr>
              <w:t xml:space="preserve">Rapp model, </w:t>
            </w:r>
            <w:r w:rsidRPr="007C139C">
              <w:rPr>
                <w:rFonts w:ascii="Times New Roman" w:hAnsi="Times New Roman" w:cs="Times New Roman"/>
                <w:sz w:val="20"/>
                <w:szCs w:val="20"/>
              </w:rPr>
              <w:t>, IBO=-11.6dB</w:t>
            </w:r>
          </w:p>
        </w:tc>
      </w:tr>
      <w:tr w:rsidR="00E278CF" w:rsidRPr="0073662B" w:rsidTr="00E278CF">
        <w:trPr>
          <w:trHeight w:val="47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Realistic, LTE pilots</w:t>
            </w:r>
          </w:p>
        </w:tc>
      </w:tr>
      <w:tr w:rsidR="00E278CF" w:rsidRPr="00F20A97"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F20A97"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F20A97">
              <w:rPr>
                <w:rFonts w:ascii="Times New Roman" w:hAnsi="Times New Roman" w:cs="Times New Roman"/>
                <w:sz w:val="22"/>
                <w:szCs w:val="22"/>
              </w:rPr>
              <w:t>ITU UMi NLOS CDL 129ns</w:t>
            </w:r>
            <w:r w:rsidR="00F20A97" w:rsidRPr="00F20A97">
              <w:rPr>
                <w:rFonts w:ascii="Times New Roman" w:hAnsi="Times New Roman" w:cs="Times New Roman"/>
                <w:sz w:val="22"/>
                <w:szCs w:val="22"/>
              </w:rPr>
              <w:t xml:space="preserve"> with delay spread scaled to </w:t>
            </w:r>
            <w:r w:rsidR="00F20A97">
              <w:rPr>
                <w:rFonts w:ascii="Times New Roman" w:hAnsi="Times New Roman" w:cs="Times New Roman"/>
                <w:sz w:val="22"/>
                <w:szCs w:val="22"/>
              </w:rPr>
              <w:t>130ns/300ns/1000ns</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CFO</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Default="007C139C" w:rsidP="007C139C">
            <w:pPr>
              <w:rPr>
                <w:rFonts w:eastAsia="SimSun"/>
              </w:rPr>
            </w:pPr>
            <w:r>
              <w:rPr>
                <w:rFonts w:eastAsia="SimSun"/>
              </w:rPr>
              <w:t xml:space="preserve">Case 1 + Case B: </w:t>
            </w:r>
          </w:p>
          <w:p w:rsidR="007C139C" w:rsidRDefault="007C139C" w:rsidP="007C139C">
            <w:pPr>
              <w:pStyle w:val="Paragraphedeliste"/>
              <w:numPr>
                <w:ilvl w:val="0"/>
                <w:numId w:val="49"/>
              </w:numPr>
              <w:spacing w:after="200" w:line="276" w:lineRule="auto"/>
              <w:ind w:leftChars="0"/>
              <w:contextualSpacing/>
              <w:jc w:val="left"/>
              <w:rPr>
                <w:rFonts w:eastAsia="MS Mincho" w:cs="Times New Roman"/>
                <w:lang w:val="en-GB"/>
              </w:rPr>
            </w:pPr>
            <w:r w:rsidRPr="008111B1">
              <w:rPr>
                <w:rFonts w:eastAsia="MS Mincho" w:cs="Times New Roman"/>
                <w:lang w:val="en-GB"/>
              </w:rPr>
              <w:t xml:space="preserve">+0.1 PPM for TX and -0.1 PPM for RX w.r.t. UE’s sync reference. </w:t>
            </w:r>
          </w:p>
          <w:p w:rsidR="007C139C" w:rsidRPr="007C139C" w:rsidRDefault="007C139C" w:rsidP="007C139C">
            <w:pPr>
              <w:pStyle w:val="Paragraphedeliste"/>
              <w:numPr>
                <w:ilvl w:val="0"/>
                <w:numId w:val="49"/>
              </w:numPr>
              <w:spacing w:after="200" w:line="276" w:lineRule="auto"/>
              <w:ind w:leftChars="0"/>
              <w:contextualSpacing/>
              <w:jc w:val="left"/>
              <w:rPr>
                <w:rFonts w:cs="Times New Roman"/>
                <w:sz w:val="22"/>
                <w:szCs w:val="22"/>
                <w:lang w:val="en-GB"/>
              </w:rPr>
            </w:pPr>
            <w:r w:rsidRPr="008111B1">
              <w:rPr>
                <w:rFonts w:eastAsia="MS Mincho" w:cs="Times New Roman"/>
                <w:lang w:val="en-GB"/>
              </w:rPr>
              <w:t>+0.05 PPM for TX’s reference and -0.05 PPM for RX’s reference w.r.t. the absolute frequency.</w:t>
            </w:r>
          </w:p>
        </w:tc>
      </w:tr>
      <w:tr w:rsidR="00E278CF"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E278CF"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Speed</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7C139C" w:rsidP="00F20A97">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15/</w:t>
            </w:r>
            <w:r w:rsidR="00F20A97">
              <w:rPr>
                <w:rFonts w:ascii="Times New Roman" w:hAnsi="Times New Roman" w:cs="Times New Roman"/>
                <w:sz w:val="22"/>
                <w:szCs w:val="22"/>
              </w:rPr>
              <w:t>60/120</w:t>
            </w:r>
            <w:r w:rsidRPr="007C139C">
              <w:rPr>
                <w:rFonts w:ascii="Times New Roman" w:hAnsi="Times New Roman" w:cs="Times New Roman"/>
                <w:sz w:val="22"/>
                <w:szCs w:val="22"/>
              </w:rPr>
              <w:t xml:space="preserve"> kmph</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L-MMSE</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Pr="0073662B">
              <w:rPr>
                <w:rFonts w:ascii="Times New Roman" w:hAnsi="Times New Roman" w:cs="Times New Roman"/>
                <w:b/>
                <w:bCs/>
                <w:color w:val="000000"/>
                <w:kern w:val="2"/>
                <w:sz w:val="22"/>
                <w:szCs w:val="22"/>
              </w:rPr>
              <w:t>CDD delay</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2 samples</w:t>
            </w:r>
          </w:p>
        </w:tc>
      </w:tr>
      <w:tr w:rsidR="001507A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507AC" w:rsidRDefault="001507A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PVS vectors</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507AC" w:rsidRPr="007C139C" w:rsidRDefault="001507AC" w:rsidP="007C139C">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 xml:space="preserve">[[1 1] [1 -1]], </w:t>
            </w:r>
            <w:r>
              <w:rPr>
                <w:rFonts w:ascii="Times New Roman" w:hAnsi="Times New Roman" w:cs="Times New Roman"/>
                <w:sz w:val="22"/>
                <w:szCs w:val="22"/>
              </w:rPr>
              <w:t>[[1 1] [</w:t>
            </w:r>
            <w:r>
              <w:rPr>
                <w:rFonts w:ascii="Times New Roman" w:hAnsi="Times New Roman" w:cs="Times New Roman"/>
                <w:sz w:val="22"/>
                <w:szCs w:val="22"/>
              </w:rPr>
              <w:t>-</w:t>
            </w:r>
            <w:r>
              <w:rPr>
                <w:rFonts w:ascii="Times New Roman" w:hAnsi="Times New Roman" w:cs="Times New Roman"/>
                <w:sz w:val="22"/>
                <w:szCs w:val="22"/>
              </w:rPr>
              <w:t>1 -1]]</w:t>
            </w:r>
            <w:r>
              <w:rPr>
                <w:rFonts w:ascii="Times New Roman" w:hAnsi="Times New Roman" w:cs="Times New Roman"/>
                <w:sz w:val="22"/>
                <w:szCs w:val="22"/>
              </w:rPr>
              <w:t xml:space="preserve">, </w:t>
            </w:r>
            <w:r>
              <w:rPr>
                <w:rFonts w:ascii="Times New Roman" w:hAnsi="Times New Roman" w:cs="Times New Roman"/>
                <w:sz w:val="22"/>
                <w:szCs w:val="22"/>
              </w:rPr>
              <w:t>[[1 1</w:t>
            </w:r>
            <w:r>
              <w:rPr>
                <w:rFonts w:ascii="Times New Roman" w:hAnsi="Times New Roman" w:cs="Times New Roman"/>
                <w:sz w:val="22"/>
                <w:szCs w:val="22"/>
              </w:rPr>
              <w:t xml:space="preserve"> 1 1</w:t>
            </w:r>
            <w:r>
              <w:rPr>
                <w:rFonts w:ascii="Times New Roman" w:hAnsi="Times New Roman" w:cs="Times New Roman"/>
                <w:sz w:val="22"/>
                <w:szCs w:val="22"/>
              </w:rPr>
              <w:t xml:space="preserve">] [1 </w:t>
            </w:r>
            <w:r>
              <w:rPr>
                <w:rFonts w:ascii="Times New Roman" w:hAnsi="Times New Roman" w:cs="Times New Roman"/>
                <w:sz w:val="22"/>
                <w:szCs w:val="22"/>
              </w:rPr>
              <w:t xml:space="preserve">j </w:t>
            </w:r>
            <w:r>
              <w:rPr>
                <w:rFonts w:ascii="Times New Roman" w:hAnsi="Times New Roman" w:cs="Times New Roman"/>
                <w:sz w:val="22"/>
                <w:szCs w:val="22"/>
              </w:rPr>
              <w:t>-1</w:t>
            </w:r>
            <w:r>
              <w:rPr>
                <w:rFonts w:ascii="Times New Roman" w:hAnsi="Times New Roman" w:cs="Times New Roman"/>
                <w:sz w:val="22"/>
                <w:szCs w:val="22"/>
              </w:rPr>
              <w:t xml:space="preserve"> -j</w:t>
            </w:r>
            <w:r>
              <w:rPr>
                <w:rFonts w:ascii="Times New Roman" w:hAnsi="Times New Roman" w:cs="Times New Roman"/>
                <w:sz w:val="22"/>
                <w:szCs w:val="22"/>
              </w:rPr>
              <w:t>]]</w:t>
            </w:r>
          </w:p>
        </w:tc>
      </w:tr>
    </w:tbl>
    <w:p w:rsidR="0049738E" w:rsidRPr="0073662B" w:rsidRDefault="0049738E" w:rsidP="00160C37"/>
    <w:sectPr w:rsidR="0049738E" w:rsidRPr="0073662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751" w:rsidRDefault="003C3751" w:rsidP="00A81622">
      <w:r>
        <w:separator/>
      </w:r>
    </w:p>
  </w:endnote>
  <w:endnote w:type="continuationSeparator" w:id="0">
    <w:p w:rsidR="003C3751" w:rsidRDefault="003C3751" w:rsidP="00A81622">
      <w:r>
        <w:continuationSeparator/>
      </w:r>
    </w:p>
  </w:endnote>
  <w:endnote w:type="continuationNotice" w:id="1">
    <w:p w:rsidR="003C3751" w:rsidRDefault="003C375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751" w:rsidRDefault="003C3751" w:rsidP="00A81622">
      <w:r>
        <w:separator/>
      </w:r>
    </w:p>
  </w:footnote>
  <w:footnote w:type="continuationSeparator" w:id="0">
    <w:p w:rsidR="003C3751" w:rsidRDefault="003C3751" w:rsidP="00A81622">
      <w:r>
        <w:continuationSeparator/>
      </w:r>
    </w:p>
  </w:footnote>
  <w:footnote w:type="continuationNotice" w:id="1">
    <w:p w:rsidR="003C3751" w:rsidRDefault="003C375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32A2854"/>
    <w:multiLevelType w:val="hybridMultilevel"/>
    <w:tmpl w:val="C2B08634"/>
    <w:lvl w:ilvl="0" w:tplc="04190003">
      <w:start w:val="1"/>
      <w:numFmt w:val="bullet"/>
      <w:lvlText w:val="o"/>
      <w:lvlJc w:val="left"/>
      <w:pPr>
        <w:tabs>
          <w:tab w:val="num" w:pos="720"/>
        </w:tabs>
        <w:ind w:left="720" w:hanging="360"/>
      </w:pPr>
      <w:rPr>
        <w:rFonts w:ascii="Courier New" w:hAnsi="Courier New" w:cs="Courier New"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03F122F"/>
    <w:multiLevelType w:val="hybridMultilevel"/>
    <w:tmpl w:val="B7BAE52E"/>
    <w:lvl w:ilvl="0" w:tplc="01A098C0">
      <w:start w:val="1"/>
      <w:numFmt w:val="bullet"/>
      <w:lvlText w:val="•"/>
      <w:lvlJc w:val="left"/>
      <w:pPr>
        <w:tabs>
          <w:tab w:val="num" w:pos="720"/>
        </w:tabs>
        <w:ind w:left="720" w:hanging="360"/>
      </w:pPr>
      <w:rPr>
        <w:rFonts w:ascii="Arial" w:hAnsi="Arial" w:hint="default"/>
      </w:rPr>
    </w:lvl>
    <w:lvl w:ilvl="1" w:tplc="04190005">
      <w:start w:val="1"/>
      <w:numFmt w:val="bullet"/>
      <w:lvlText w:val=""/>
      <w:lvlJc w:val="left"/>
      <w:pPr>
        <w:tabs>
          <w:tab w:val="num" w:pos="1440"/>
        </w:tabs>
        <w:ind w:left="1440" w:hanging="360"/>
      </w:pPr>
      <w:rPr>
        <w:rFonts w:ascii="Wingdings" w:hAnsi="Wingdings"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044C3E"/>
    <w:multiLevelType w:val="hybridMultilevel"/>
    <w:tmpl w:val="96A23014"/>
    <w:lvl w:ilvl="0" w:tplc="04190001">
      <w:start w:val="1"/>
      <w:numFmt w:val="bullet"/>
      <w:lvlText w:val=""/>
      <w:lvlJc w:val="left"/>
      <w:pPr>
        <w:ind w:left="5040" w:hanging="360"/>
      </w:pPr>
      <w:rPr>
        <w:rFonts w:ascii="Symbol" w:hAnsi="Symbol" w:hint="default"/>
      </w:rPr>
    </w:lvl>
    <w:lvl w:ilvl="1" w:tplc="04190003">
      <w:start w:val="1"/>
      <w:numFmt w:val="bullet"/>
      <w:lvlText w:val="o"/>
      <w:lvlJc w:val="left"/>
      <w:pPr>
        <w:ind w:left="5760" w:hanging="360"/>
      </w:pPr>
      <w:rPr>
        <w:rFonts w:ascii="Courier New" w:hAnsi="Courier New" w:cs="Courier New" w:hint="default"/>
      </w:rPr>
    </w:lvl>
    <w:lvl w:ilvl="2" w:tplc="04190005" w:tentative="1">
      <w:start w:val="1"/>
      <w:numFmt w:val="bullet"/>
      <w:lvlText w:val=""/>
      <w:lvlJc w:val="left"/>
      <w:pPr>
        <w:ind w:left="6480" w:hanging="360"/>
      </w:pPr>
      <w:rPr>
        <w:rFonts w:ascii="Wingdings" w:hAnsi="Wingdings" w:hint="default"/>
      </w:rPr>
    </w:lvl>
    <w:lvl w:ilvl="3" w:tplc="04190001" w:tentative="1">
      <w:start w:val="1"/>
      <w:numFmt w:val="bullet"/>
      <w:lvlText w:val=""/>
      <w:lvlJc w:val="left"/>
      <w:pPr>
        <w:ind w:left="7200" w:hanging="360"/>
      </w:pPr>
      <w:rPr>
        <w:rFonts w:ascii="Symbol" w:hAnsi="Symbol" w:hint="default"/>
      </w:rPr>
    </w:lvl>
    <w:lvl w:ilvl="4" w:tplc="04190003" w:tentative="1">
      <w:start w:val="1"/>
      <w:numFmt w:val="bullet"/>
      <w:lvlText w:val="o"/>
      <w:lvlJc w:val="left"/>
      <w:pPr>
        <w:ind w:left="7920" w:hanging="360"/>
      </w:pPr>
      <w:rPr>
        <w:rFonts w:ascii="Courier New" w:hAnsi="Courier New" w:cs="Courier New" w:hint="default"/>
      </w:rPr>
    </w:lvl>
    <w:lvl w:ilvl="5" w:tplc="04190005" w:tentative="1">
      <w:start w:val="1"/>
      <w:numFmt w:val="bullet"/>
      <w:lvlText w:val=""/>
      <w:lvlJc w:val="left"/>
      <w:pPr>
        <w:ind w:left="8640" w:hanging="360"/>
      </w:pPr>
      <w:rPr>
        <w:rFonts w:ascii="Wingdings" w:hAnsi="Wingdings" w:hint="default"/>
      </w:rPr>
    </w:lvl>
    <w:lvl w:ilvl="6" w:tplc="04190001" w:tentative="1">
      <w:start w:val="1"/>
      <w:numFmt w:val="bullet"/>
      <w:lvlText w:val=""/>
      <w:lvlJc w:val="left"/>
      <w:pPr>
        <w:ind w:left="9360" w:hanging="360"/>
      </w:pPr>
      <w:rPr>
        <w:rFonts w:ascii="Symbol" w:hAnsi="Symbol" w:hint="default"/>
      </w:rPr>
    </w:lvl>
    <w:lvl w:ilvl="7" w:tplc="04190003" w:tentative="1">
      <w:start w:val="1"/>
      <w:numFmt w:val="bullet"/>
      <w:lvlText w:val="o"/>
      <w:lvlJc w:val="left"/>
      <w:pPr>
        <w:ind w:left="10080" w:hanging="360"/>
      </w:pPr>
      <w:rPr>
        <w:rFonts w:ascii="Courier New" w:hAnsi="Courier New" w:cs="Courier New" w:hint="default"/>
      </w:rPr>
    </w:lvl>
    <w:lvl w:ilvl="8" w:tplc="04190005" w:tentative="1">
      <w:start w:val="1"/>
      <w:numFmt w:val="bullet"/>
      <w:lvlText w:val=""/>
      <w:lvlJc w:val="left"/>
      <w:pPr>
        <w:ind w:left="10800" w:hanging="360"/>
      </w:pPr>
      <w:rPr>
        <w:rFonts w:ascii="Wingdings" w:hAnsi="Wingdings" w:hint="default"/>
      </w:rPr>
    </w:lvl>
  </w:abstractNum>
  <w:abstractNum w:abstractNumId="20" w15:restartNumberingAfterBreak="0">
    <w:nsid w:val="420160EB"/>
    <w:multiLevelType w:val="hybridMultilevel"/>
    <w:tmpl w:val="4BD6E52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4"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3715E4"/>
    <w:multiLevelType w:val="hybridMultilevel"/>
    <w:tmpl w:val="1930C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7"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5"/>
  </w:num>
  <w:num w:numId="3">
    <w:abstractNumId w:val="40"/>
  </w:num>
  <w:num w:numId="4">
    <w:abstractNumId w:val="16"/>
  </w:num>
  <w:num w:numId="5">
    <w:abstractNumId w:val="45"/>
  </w:num>
  <w:num w:numId="6">
    <w:abstractNumId w:val="5"/>
  </w:num>
  <w:num w:numId="7">
    <w:abstractNumId w:val="24"/>
  </w:num>
  <w:num w:numId="8">
    <w:abstractNumId w:val="30"/>
  </w:num>
  <w:num w:numId="9">
    <w:abstractNumId w:val="7"/>
  </w:num>
  <w:num w:numId="10">
    <w:abstractNumId w:val="12"/>
  </w:num>
  <w:num w:numId="11">
    <w:abstractNumId w:val="1"/>
  </w:num>
  <w:num w:numId="12">
    <w:abstractNumId w:val="46"/>
  </w:num>
  <w:num w:numId="13">
    <w:abstractNumId w:val="23"/>
  </w:num>
  <w:num w:numId="14">
    <w:abstractNumId w:val="34"/>
  </w:num>
  <w:num w:numId="15">
    <w:abstractNumId w:val="41"/>
  </w:num>
  <w:num w:numId="16">
    <w:abstractNumId w:val="10"/>
  </w:num>
  <w:num w:numId="17">
    <w:abstractNumId w:val="4"/>
  </w:num>
  <w:num w:numId="18">
    <w:abstractNumId w:val="3"/>
  </w:num>
  <w:num w:numId="19">
    <w:abstractNumId w:val="42"/>
  </w:num>
  <w:num w:numId="20">
    <w:abstractNumId w:val="14"/>
  </w:num>
  <w:num w:numId="21">
    <w:abstractNumId w:val="29"/>
  </w:num>
  <w:num w:numId="22">
    <w:abstractNumId w:val="6"/>
  </w:num>
  <w:num w:numId="23">
    <w:abstractNumId w:val="40"/>
  </w:num>
  <w:num w:numId="24">
    <w:abstractNumId w:val="33"/>
  </w:num>
  <w:num w:numId="25">
    <w:abstractNumId w:val="15"/>
  </w:num>
  <w:num w:numId="26">
    <w:abstractNumId w:val="18"/>
  </w:num>
  <w:num w:numId="27">
    <w:abstractNumId w:val="26"/>
  </w:num>
  <w:num w:numId="28">
    <w:abstractNumId w:val="39"/>
  </w:num>
  <w:num w:numId="29">
    <w:abstractNumId w:val="31"/>
  </w:num>
  <w:num w:numId="30">
    <w:abstractNumId w:val="37"/>
  </w:num>
  <w:num w:numId="31">
    <w:abstractNumId w:val="22"/>
  </w:num>
  <w:num w:numId="32">
    <w:abstractNumId w:val="27"/>
  </w:num>
  <w:num w:numId="33">
    <w:abstractNumId w:val="8"/>
  </w:num>
  <w:num w:numId="34">
    <w:abstractNumId w:val="28"/>
  </w:num>
  <w:num w:numId="35">
    <w:abstractNumId w:val="38"/>
  </w:num>
  <w:num w:numId="36">
    <w:abstractNumId w:val="44"/>
  </w:num>
  <w:num w:numId="37">
    <w:abstractNumId w:val="47"/>
  </w:num>
  <w:num w:numId="38">
    <w:abstractNumId w:val="43"/>
  </w:num>
  <w:num w:numId="39">
    <w:abstractNumId w:val="17"/>
  </w:num>
  <w:num w:numId="40">
    <w:abstractNumId w:val="21"/>
  </w:num>
  <w:num w:numId="41">
    <w:abstractNumId w:val="11"/>
  </w:num>
  <w:num w:numId="42">
    <w:abstractNumId w:val="36"/>
  </w:num>
  <w:num w:numId="43">
    <w:abstractNumId w:val="2"/>
  </w:num>
  <w:num w:numId="44">
    <w:abstractNumId w:val="25"/>
  </w:num>
  <w:num w:numId="45">
    <w:abstractNumId w:val="19"/>
  </w:num>
  <w:num w:numId="46">
    <w:abstractNumId w:val="9"/>
  </w:num>
  <w:num w:numId="47">
    <w:abstractNumId w:val="13"/>
  </w:num>
  <w:num w:numId="48">
    <w:abstractNumId w:val="20"/>
  </w:num>
  <w:num w:numId="4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16B"/>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6FE3"/>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286"/>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5944"/>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91B"/>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7AC"/>
    <w:rsid w:val="00150EAE"/>
    <w:rsid w:val="00150EE4"/>
    <w:rsid w:val="001513C2"/>
    <w:rsid w:val="00151984"/>
    <w:rsid w:val="00151D10"/>
    <w:rsid w:val="00151F3A"/>
    <w:rsid w:val="00152772"/>
    <w:rsid w:val="00152CC3"/>
    <w:rsid w:val="00153A9E"/>
    <w:rsid w:val="001550A0"/>
    <w:rsid w:val="001552B9"/>
    <w:rsid w:val="001557DF"/>
    <w:rsid w:val="00155C60"/>
    <w:rsid w:val="00157039"/>
    <w:rsid w:val="00160772"/>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3B5B"/>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5E"/>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1DEE"/>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C94"/>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0FB8"/>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430"/>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2DC"/>
    <w:rsid w:val="003B7855"/>
    <w:rsid w:val="003C12FA"/>
    <w:rsid w:val="003C1E88"/>
    <w:rsid w:val="003C27D5"/>
    <w:rsid w:val="003C2D44"/>
    <w:rsid w:val="003C2DCC"/>
    <w:rsid w:val="003C3242"/>
    <w:rsid w:val="003C3751"/>
    <w:rsid w:val="003C3E3C"/>
    <w:rsid w:val="003C4B63"/>
    <w:rsid w:val="003C50DE"/>
    <w:rsid w:val="003C5892"/>
    <w:rsid w:val="003C5E08"/>
    <w:rsid w:val="003C61AB"/>
    <w:rsid w:val="003C6470"/>
    <w:rsid w:val="003C6C6E"/>
    <w:rsid w:val="003C6FC0"/>
    <w:rsid w:val="003C7581"/>
    <w:rsid w:val="003C7808"/>
    <w:rsid w:val="003D00CF"/>
    <w:rsid w:val="003D1676"/>
    <w:rsid w:val="003D1700"/>
    <w:rsid w:val="003D19BD"/>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35E"/>
    <w:rsid w:val="003F4936"/>
    <w:rsid w:val="003F4BE8"/>
    <w:rsid w:val="003F5707"/>
    <w:rsid w:val="003F5EE0"/>
    <w:rsid w:val="003F7351"/>
    <w:rsid w:val="003F779C"/>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29A4"/>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2369"/>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2F55"/>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39C"/>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4E01"/>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B7A2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489A"/>
    <w:rsid w:val="00A35549"/>
    <w:rsid w:val="00A36CFE"/>
    <w:rsid w:val="00A371DD"/>
    <w:rsid w:val="00A37F05"/>
    <w:rsid w:val="00A4054C"/>
    <w:rsid w:val="00A41438"/>
    <w:rsid w:val="00A4327B"/>
    <w:rsid w:val="00A43E60"/>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7661F"/>
    <w:rsid w:val="00A77559"/>
    <w:rsid w:val="00A81622"/>
    <w:rsid w:val="00A817C9"/>
    <w:rsid w:val="00A81B63"/>
    <w:rsid w:val="00A81E4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1981"/>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4A0B"/>
    <w:rsid w:val="00B85817"/>
    <w:rsid w:val="00B85908"/>
    <w:rsid w:val="00B8648E"/>
    <w:rsid w:val="00B86ADA"/>
    <w:rsid w:val="00B875A2"/>
    <w:rsid w:val="00B8760F"/>
    <w:rsid w:val="00B9066E"/>
    <w:rsid w:val="00B90B08"/>
    <w:rsid w:val="00B91830"/>
    <w:rsid w:val="00B918DA"/>
    <w:rsid w:val="00B92C04"/>
    <w:rsid w:val="00B93FB7"/>
    <w:rsid w:val="00B943A0"/>
    <w:rsid w:val="00B94CD1"/>
    <w:rsid w:val="00B95633"/>
    <w:rsid w:val="00B9596D"/>
    <w:rsid w:val="00B9608F"/>
    <w:rsid w:val="00B961B4"/>
    <w:rsid w:val="00B96293"/>
    <w:rsid w:val="00B96B9B"/>
    <w:rsid w:val="00B97967"/>
    <w:rsid w:val="00BA0FB0"/>
    <w:rsid w:val="00BA2353"/>
    <w:rsid w:val="00BA2FD6"/>
    <w:rsid w:val="00BA31A1"/>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4876"/>
    <w:rsid w:val="00BF54A4"/>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3E3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57BD"/>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59A7"/>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47F8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4041"/>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8CF"/>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A64"/>
    <w:rsid w:val="00F06DBB"/>
    <w:rsid w:val="00F075AE"/>
    <w:rsid w:val="00F101DA"/>
    <w:rsid w:val="00F114E6"/>
    <w:rsid w:val="00F1211B"/>
    <w:rsid w:val="00F12D58"/>
    <w:rsid w:val="00F14059"/>
    <w:rsid w:val="00F14B5A"/>
    <w:rsid w:val="00F15698"/>
    <w:rsid w:val="00F15B8D"/>
    <w:rsid w:val="00F161A7"/>
    <w:rsid w:val="00F20A9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158A"/>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 w:type="numbering" w:customStyle="1" w:styleId="Aucuneliste1">
    <w:name w:val="Aucune liste1"/>
    <w:next w:val="Aucuneliste"/>
    <w:uiPriority w:val="99"/>
    <w:semiHidden/>
    <w:unhideWhenUsed/>
    <w:rsid w:val="00380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1397CA-1722-41BE-B5CA-621BA0DA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2387</Words>
  <Characters>13134</Characters>
  <Application>Microsoft Office Word</Application>
  <DocSecurity>0</DocSecurity>
  <Lines>109</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15</cp:revision>
  <cp:lastPrinted>2016-08-10T06:06:00Z</cp:lastPrinted>
  <dcterms:created xsi:type="dcterms:W3CDTF">2017-11-15T22:02:00Z</dcterms:created>
  <dcterms:modified xsi:type="dcterms:W3CDTF">2017-11-17T22:48:00Z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